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08E" w:rsidRPr="007A66B8" w:rsidRDefault="0002001F" w:rsidP="009E3FD0">
      <w:pPr>
        <w:spacing w:after="120" w:line="360" w:lineRule="auto"/>
        <w:jc w:val="center"/>
        <w:rPr>
          <w:b/>
          <w:i/>
          <w:sz w:val="28"/>
        </w:rPr>
      </w:pPr>
      <w:r w:rsidRPr="007A66B8">
        <w:rPr>
          <w:b/>
          <w:i/>
          <w:sz w:val="28"/>
        </w:rPr>
        <w:t>Dark Tourism and Pilgrimage Tourism</w:t>
      </w:r>
    </w:p>
    <w:p w:rsidR="003A07B1" w:rsidRPr="007A66B8" w:rsidRDefault="0002001F" w:rsidP="009E3FD0">
      <w:pPr>
        <w:spacing w:after="120" w:line="360" w:lineRule="auto"/>
        <w:rPr>
          <w:b/>
        </w:rPr>
      </w:pPr>
      <w:r w:rsidRPr="007A66B8">
        <w:rPr>
          <w:b/>
        </w:rPr>
        <w:t>Introduction:</w:t>
      </w:r>
    </w:p>
    <w:p w:rsidR="003A07B1" w:rsidRDefault="0002001F" w:rsidP="009E3FD0">
      <w:pPr>
        <w:spacing w:after="360" w:line="360" w:lineRule="auto"/>
      </w:pPr>
      <w:r>
        <w:t>Special interest tourism, or niche tourism</w:t>
      </w:r>
      <w:r>
        <w:t xml:space="preserve">, is where people travel to different locations </w:t>
      </w:r>
      <w:r w:rsidR="00F25E7A">
        <w:t>according to</w:t>
      </w:r>
      <w:r>
        <w:t xml:space="preserve"> their specific interests</w:t>
      </w:r>
      <w:r w:rsidR="00F25E7A">
        <w:t xml:space="preserve"> in different</w:t>
      </w:r>
      <w:r>
        <w:t xml:space="preserve"> segment</w:t>
      </w:r>
      <w:r w:rsidR="00F25E7A">
        <w:t>s</w:t>
      </w:r>
      <w:r>
        <w:t xml:space="preserve"> of the tourism </w:t>
      </w:r>
      <w:r w:rsidR="00F25E7A">
        <w:t>industry</w:t>
      </w:r>
      <w:r>
        <w:t xml:space="preserve">. The two types of special interest tourism that I will be comparing are </w:t>
      </w:r>
      <w:r>
        <w:rPr>
          <w:i/>
        </w:rPr>
        <w:t xml:space="preserve">Dark Tourism </w:t>
      </w:r>
      <w:r>
        <w:t xml:space="preserve">and </w:t>
      </w:r>
      <w:r>
        <w:rPr>
          <w:i/>
        </w:rPr>
        <w:t>Pilgrimage Tourism.</w:t>
      </w:r>
      <w:r>
        <w:t xml:space="preserve"> Dark Tourism is the visitation of places that have been the location of de</w:t>
      </w:r>
      <w:bookmarkStart w:id="0" w:name="_GoBack"/>
      <w:bookmarkEnd w:id="0"/>
      <w:r>
        <w:t>ath, pain and suffering whereas Pilgrimage Tourism is travelling f</w:t>
      </w:r>
      <w:r>
        <w:t>or a spiritual purpose to a religious shrine or location (</w:t>
      </w:r>
      <w:r w:rsidRPr="003A07B1">
        <w:rPr>
          <w:i/>
        </w:rPr>
        <w:t>Travel Industry Dictionary</w:t>
      </w:r>
      <w:r>
        <w:t xml:space="preserve">). The reason for choosing these </w:t>
      </w:r>
      <w:r>
        <w:t xml:space="preserve">types of niche tourism is because they are </w:t>
      </w:r>
      <w:r>
        <w:t>similar due to the fact that people are attracted to them for things that have happened</w:t>
      </w:r>
      <w:r w:rsidR="00764814">
        <w:t xml:space="preserve"> in the past, but they</w:t>
      </w:r>
      <w:r>
        <w:t xml:space="preserve"> contrast as one is a negative reason and the other is a positive reason.</w:t>
      </w:r>
    </w:p>
    <w:p w:rsidR="00755B77" w:rsidRPr="007A66B8" w:rsidRDefault="0002001F" w:rsidP="009E3FD0">
      <w:pPr>
        <w:spacing w:after="120" w:line="360" w:lineRule="auto"/>
        <w:rPr>
          <w:b/>
        </w:rPr>
      </w:pPr>
      <w:r w:rsidRPr="007A66B8">
        <w:rPr>
          <w:b/>
        </w:rPr>
        <w:t>History:</w:t>
      </w:r>
    </w:p>
    <w:p w:rsidR="001D5B76" w:rsidRDefault="0002001F" w:rsidP="009E3FD0">
      <w:pPr>
        <w:spacing w:line="360" w:lineRule="auto"/>
      </w:pPr>
      <w:r>
        <w:t>As long as there have been tragedies, there has been Dark Tourism. It dates as far back as the medieval times</w:t>
      </w:r>
      <w:r>
        <w:t xml:space="preserve"> where townspeople would gather in the town centre to observe executions (</w:t>
      </w:r>
      <w:r>
        <w:rPr>
          <w:i/>
        </w:rPr>
        <w:t>Women on the Road)</w:t>
      </w:r>
      <w:r>
        <w:t>.  Nowadays sites where wars have occurred or massacre locations, which are both places where mass amounts of death and suffering have taken place, are what attract</w:t>
      </w:r>
      <w:r>
        <w:t xml:space="preserve"> most tourists.  Those who live in the places of such attractions have turned these horrific events into a profitable business by offering informative tours of the sites, for example in Saigon, Vietnam the spider and scorpion infested Cu Chi tunnels where </w:t>
      </w:r>
      <w:r>
        <w:t>many soldiers used to travel through (and die) during the late 1960’s have now been widened for curious tourists and there is even a place where you can fire a gun used by the soldiers during the Vietnam War (</w:t>
      </w:r>
      <w:r w:rsidRPr="004C4399">
        <w:rPr>
          <w:i/>
        </w:rPr>
        <w:t>Vacation Ideas</w:t>
      </w:r>
      <w:r>
        <w:t xml:space="preserve">). Not all places of tragedy are </w:t>
      </w:r>
      <w:r>
        <w:t>marketed</w:t>
      </w:r>
      <w:r>
        <w:t>,</w:t>
      </w:r>
      <w:r>
        <w:t xml:space="preserve"> as the horrific events that happened are still recent such as Port Arthur, location site of Australia’s largest murder massacre</w:t>
      </w:r>
      <w:r w:rsidR="00764814">
        <w:t xml:space="preserve"> in 1996</w:t>
      </w:r>
      <w:r>
        <w:t>. There are no tours guided in that area and the local tour guidebooks ask that out of respect, no questions are asked about tha</w:t>
      </w:r>
      <w:r>
        <w:t>t day (</w:t>
      </w:r>
      <w:r w:rsidRPr="00720267">
        <w:rPr>
          <w:i/>
        </w:rPr>
        <w:t>B. Doherty, 2006</w:t>
      </w:r>
      <w:r>
        <w:t>).</w:t>
      </w:r>
    </w:p>
    <w:p w:rsidR="009E3FD0" w:rsidRDefault="009E3FD0">
      <w:r w:rsidRPr="00567094">
        <w:rPr>
          <w:noProof/>
          <w:lang w:val="en-US" w:eastAsia="zh-TW"/>
        </w:rPr>
        <w:pict>
          <v:shapetype id="_x0000_t202" coordsize="21600,21600" o:spt="202" path="m,l,21600r21600,l21600,xe">
            <v:stroke joinstyle="miter"/>
            <v:path gradientshapeok="t" o:connecttype="rect"/>
          </v:shapetype>
          <v:shape id="_x0000_s1030" type="#_x0000_t202" style="position:absolute;margin-left:-8.6pt;margin-top:20.05pt;width:466.45pt;height:94.25pt;z-index:-251649024;mso-width-relative:margin;mso-height-relative:margin" wrapcoords="-139 -514 -139 21943 21739 21943 21739 -514 -139 -514" fillcolor="white [3201]" strokecolor="#4f81bd [3204]" strokeweight="5pt">
            <v:stroke linestyle="thickThin"/>
            <v:shadow color="#868686"/>
            <v:textbox style="mso-next-textbox:#_x0000_s1030">
              <w:txbxContent>
                <w:p w:rsidR="00293F06" w:rsidRPr="00293F06" w:rsidRDefault="00293F06" w:rsidP="009E3FD0">
                  <w:pPr>
                    <w:pStyle w:val="NoSpacing"/>
                    <w:spacing w:line="360" w:lineRule="auto"/>
                  </w:pPr>
                  <w:r>
                    <w:rPr>
                      <w:lang w:val="en-GB"/>
                    </w:rPr>
                    <w:t>“</w:t>
                  </w:r>
                  <w:r w:rsidRPr="00293F06">
                    <w:rPr>
                      <w:lang w:val="en-GB"/>
                    </w:rPr>
                    <w:t>Death, dying and the dead are traumatic and anxiety</w:t>
                  </w:r>
                  <w:r>
                    <w:t xml:space="preserve"> </w:t>
                  </w:r>
                  <w:r w:rsidRPr="00293F06">
                    <w:rPr>
                      <w:lang w:val="en-GB"/>
                    </w:rPr>
                    <w:t>producing topics, and can b</w:t>
                  </w:r>
                  <w:r>
                    <w:rPr>
                      <w:lang w:val="en-GB"/>
                    </w:rPr>
                    <w:t>e better confronted if they are</w:t>
                  </w:r>
                  <w:r>
                    <w:t xml:space="preserve"> </w:t>
                  </w:r>
                  <w:r w:rsidRPr="00293F06">
                    <w:rPr>
                      <w:lang w:val="en-GB"/>
                    </w:rPr>
                    <w:t>socially neutralized. Dark to</w:t>
                  </w:r>
                  <w:r>
                    <w:rPr>
                      <w:lang w:val="en-GB"/>
                    </w:rPr>
                    <w:t>urism, as part of wider popular</w:t>
                  </w:r>
                  <w:r>
                    <w:t xml:space="preserve"> </w:t>
                  </w:r>
                  <w:r w:rsidRPr="00293F06">
                    <w:rPr>
                      <w:lang w:val="en-GB"/>
                    </w:rPr>
                    <w:t>culture, perhaps aids this ‘social neutralization’ process, and thereby helps people confront the taboo of death and unmasks it from the constraints of wider society.</w:t>
                  </w:r>
                  <w:r>
                    <w:rPr>
                      <w:lang w:val="en-GB"/>
                    </w:rPr>
                    <w:t xml:space="preserve">” </w:t>
                  </w:r>
                  <w:r w:rsidRPr="00293F06">
                    <w:rPr>
                      <w:lang w:val="en-GB"/>
                    </w:rPr>
                    <w:t>(</w:t>
                  </w:r>
                  <w:r w:rsidRPr="00293F06">
                    <w:rPr>
                      <w:i/>
                      <w:lang w:val="en-GB"/>
                    </w:rPr>
                    <w:t>P. R.</w:t>
                  </w:r>
                  <w:r>
                    <w:rPr>
                      <w:lang w:val="en-GB"/>
                    </w:rPr>
                    <w:t xml:space="preserve"> </w:t>
                  </w:r>
                  <w:r w:rsidRPr="00293F06">
                    <w:rPr>
                      <w:i/>
                      <w:lang w:val="en-GB"/>
                    </w:rPr>
                    <w:t>Stone, 2005</w:t>
                  </w:r>
                  <w:r>
                    <w:rPr>
                      <w:lang w:val="en-GB"/>
                    </w:rPr>
                    <w:t>)</w:t>
                  </w:r>
                </w:p>
                <w:p w:rsidR="00293F06" w:rsidRDefault="00293F06" w:rsidP="00293F06">
                  <w:pPr>
                    <w:pStyle w:val="NoSpacing"/>
                  </w:pPr>
                </w:p>
              </w:txbxContent>
            </v:textbox>
            <w10:wrap type="tight"/>
          </v:shape>
        </w:pict>
      </w:r>
      <w:r>
        <w:br w:type="page"/>
      </w:r>
    </w:p>
    <w:p w:rsidR="003A07B1" w:rsidRPr="0050333F" w:rsidRDefault="009E3FD0" w:rsidP="009E3FD0">
      <w:pPr>
        <w:spacing w:before="120" w:after="120" w:line="360" w:lineRule="auto"/>
      </w:pPr>
      <w:r>
        <w:rPr>
          <w:noProof/>
        </w:rPr>
        <w:lastRenderedPageBreak/>
        <w:pict>
          <v:shape id="Text Box 3" o:spid="_x0000_s1027" type="#_x0000_t202" style="position:absolute;margin-left:-32.35pt;margin-top:142.95pt;width:117pt;height:40.9pt;rotation:1172569fd;z-index:25165926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wrapcoords="-138 0 -138 21207 21600 21207 21600 0 -13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" stroked="f">
            <v:textbox style="mso-next-textbox:#Text Box 3;mso-fit-shape-to-text:t" inset="0,0,0,0">
              <w:txbxContent>
                <w:p w:rsidR="00333737" w:rsidRPr="009E3FD0" w:rsidRDefault="0002001F" w:rsidP="007E7F8A">
                  <w:pPr>
                    <w:jc w:val="center"/>
                    <w:rPr>
                      <w:i/>
                      <w:noProof/>
                      <w:color w:val="365F91" w:themeColor="accent1" w:themeShade="BF"/>
                    </w:rPr>
                  </w:pPr>
                  <w:r w:rsidRPr="009E3FD0">
                    <w:rPr>
                      <w:i/>
                      <w:color w:val="365F91" w:themeColor="accent1" w:themeShade="BF"/>
                    </w:rPr>
                    <w:t>The Church of the Holy Sepulchre</w:t>
                  </w:r>
                  <w:r w:rsidRPr="009E3FD0">
                    <w:rPr>
                      <w:i/>
                      <w:color w:val="365F91" w:themeColor="accent1" w:themeShade="BF"/>
                    </w:rPr>
                    <w:t xml:space="preserve"> (Bible Places)</w:t>
                  </w:r>
                </w:p>
              </w:txbxContent>
            </v:textbox>
            <w10:wrap type="tight"/>
          </v:shape>
        </w:pict>
      </w:r>
      <w:r>
        <w:rPr>
          <w:noProof/>
        </w:rPr>
        <w:drawing>
          <wp:anchor distT="0" distB="0" distL="114300" distR="114300" simplePos="0" relativeHeight="251665408" behindDoc="1" locked="0" layoutInCell="1" allowOverlap="1">
            <wp:simplePos x="0" y="0"/>
            <wp:positionH relativeFrom="column">
              <wp:posOffset>212725</wp:posOffset>
            </wp:positionH>
            <wp:positionV relativeFrom="paragraph">
              <wp:posOffset>147955</wp:posOffset>
            </wp:positionV>
            <wp:extent cx="2124075" cy="1572260"/>
            <wp:effectExtent l="247650" t="400050" r="333375" b="427990"/>
            <wp:wrapTight wrapText="bothSides">
              <wp:wrapPolygon edited="0">
                <wp:start x="-3088" y="243"/>
                <wp:lineTo x="-2765" y="4538"/>
                <wp:lineTo x="-1250" y="17154"/>
                <wp:lineTo x="489" y="25209"/>
                <wp:lineTo x="2377" y="24568"/>
                <wp:lineTo x="13385" y="23377"/>
                <wp:lineTo x="13750" y="23199"/>
                <wp:lineTo x="13816" y="23445"/>
                <wp:lineTo x="23235" y="22472"/>
                <wp:lineTo x="23599" y="22295"/>
                <wp:lineTo x="25057" y="21584"/>
                <wp:lineTo x="24932" y="18029"/>
                <wp:lineTo x="24866" y="17783"/>
                <wp:lineTo x="24427" y="13823"/>
                <wp:lineTo x="24361" y="13577"/>
                <wp:lineTo x="23922" y="9618"/>
                <wp:lineTo x="23856" y="9372"/>
                <wp:lineTo x="23417" y="5413"/>
                <wp:lineTo x="23351" y="5166"/>
                <wp:lineTo x="22912" y="1207"/>
                <wp:lineTo x="22093" y="-3402"/>
                <wp:lineTo x="-1630" y="-467"/>
                <wp:lineTo x="-3088" y="243"/>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l="15954" t="32840" r="53966" b="27515"/>
                    <a:stretch>
                      <a:fillRect/>
                    </a:stretch>
                  </pic:blipFill>
                  <pic:spPr bwMode="auto">
                    <a:xfrm rot="1190000">
                      <a:off x="0" y="0"/>
                      <a:ext cx="2124075" cy="157226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02001F">
        <w:t>Pilgrimage tourism is also a very old form of niche tourism as religion is an ancient aspect of human culture. All religions offer the opportunity for a spiritual journey of pilg</w:t>
      </w:r>
      <w:r w:rsidR="0002001F">
        <w:t>rimage</w:t>
      </w:r>
      <w:r w:rsidR="00764814">
        <w:t>.</w:t>
      </w:r>
      <w:r w:rsidR="00764814" w:rsidRPr="00764814">
        <w:t xml:space="preserve"> </w:t>
      </w:r>
      <w:r w:rsidR="00764814">
        <w:t>There are countless religions and religious shrines for Buddhism, Hinduism, Islam and even Wiccan, just to name a few other religions which attract those interested in Pilgrimage tourism</w:t>
      </w:r>
      <w:r w:rsidR="0002001F">
        <w:t xml:space="preserve">. In Australia, most people are of a faith that falls under the category of Christianity </w:t>
      </w:r>
      <w:r w:rsidR="0002001F">
        <w:t>(</w:t>
      </w:r>
      <w:r w:rsidR="0002001F" w:rsidRPr="004C4399">
        <w:rPr>
          <w:i/>
        </w:rPr>
        <w:t xml:space="preserve">See </w:t>
      </w:r>
      <w:r w:rsidR="0002001F" w:rsidRPr="00AB3162">
        <w:rPr>
          <w:b/>
          <w:i/>
        </w:rPr>
        <w:t>figure 1</w:t>
      </w:r>
      <w:r w:rsidR="0002001F">
        <w:t xml:space="preserve">) </w:t>
      </w:r>
      <w:r w:rsidR="0002001F">
        <w:t xml:space="preserve">so I will be </w:t>
      </w:r>
      <w:r w:rsidR="00764814">
        <w:t>referring to</w:t>
      </w:r>
      <w:r w:rsidR="0002001F">
        <w:t xml:space="preserve"> Christian places of worship</w:t>
      </w:r>
      <w:r w:rsidR="0002001F">
        <w:t>.</w:t>
      </w:r>
      <w:r w:rsidR="0002001F">
        <w:t xml:space="preserve"> </w:t>
      </w:r>
      <w:r w:rsidR="0002001F">
        <w:t>Places such as The Church of the Holy Sepulchre in Israel, the alleged true place of the death and burial of Christ (</w:t>
      </w:r>
      <w:r w:rsidR="0002001F" w:rsidRPr="00956BE5">
        <w:rPr>
          <w:i/>
        </w:rPr>
        <w:t>Bible Places</w:t>
      </w:r>
      <w:r w:rsidR="0002001F">
        <w:t>) are a very high priority of</w:t>
      </w:r>
      <w:r w:rsidR="0002001F">
        <w:t xml:space="preserve"> places to see for anyone perusing a pilgrimage under Christian faith. </w:t>
      </w:r>
    </w:p>
    <w:tbl>
      <w:tblPr>
        <w:tblStyle w:val="MediumShading2-Accent5"/>
        <w:tblpPr w:leftFromText="180" w:rightFromText="180" w:vertAnchor="text" w:horzAnchor="margin" w:tblpY="574"/>
        <w:tblW w:w="4966" w:type="pct"/>
        <w:tblLook w:val="04A0"/>
      </w:tblPr>
      <w:tblGrid>
        <w:gridCol w:w="994"/>
        <w:gridCol w:w="996"/>
        <w:gridCol w:w="996"/>
        <w:gridCol w:w="996"/>
        <w:gridCol w:w="1000"/>
        <w:gridCol w:w="997"/>
        <w:gridCol w:w="997"/>
        <w:gridCol w:w="1171"/>
        <w:gridCol w:w="1032"/>
      </w:tblGrid>
      <w:tr w:rsidR="007A66B8" w:rsidRPr="009669FB" w:rsidTr="00F16ED1">
        <w:trPr>
          <w:cnfStyle w:val="100000000000"/>
        </w:trPr>
        <w:tc>
          <w:tcPr>
            <w:cnfStyle w:val="001000000100"/>
            <w:tcW w:w="2751" w:type="pct"/>
            <w:gridSpan w:val="5"/>
            <w:tcBorders>
              <w:left w:val="single" w:sz="4" w:space="0" w:color="auto"/>
            </w:tcBorders>
            <w:hideMark/>
          </w:tcPr>
          <w:p w:rsidR="00B15EE1" w:rsidRPr="009669FB" w:rsidRDefault="0002001F" w:rsidP="009669FB">
            <w:pPr>
              <w:tabs>
                <w:tab w:val="left" w:pos="870"/>
                <w:tab w:val="right" w:pos="3825"/>
              </w:tabs>
              <w:spacing w:line="360" w:lineRule="auto"/>
              <w:rPr>
                <w:sz w:val="16"/>
              </w:rPr>
            </w:pPr>
            <w:r w:rsidRPr="009669FB">
              <w:rPr>
                <w:rFonts w:cstheme="minorHAnsi"/>
                <w:sz w:val="16"/>
              </w:rPr>
              <w:tab/>
            </w:r>
            <w:r w:rsidRPr="009669FB">
              <w:rPr>
                <w:rFonts w:cstheme="minorHAnsi"/>
                <w:sz w:val="18"/>
              </w:rPr>
              <w:t>|    -  -  -  -  -  -</w:t>
            </w:r>
            <w:r w:rsidRPr="009669FB">
              <w:rPr>
                <w:rFonts w:cstheme="minorHAnsi"/>
                <w:sz w:val="18"/>
              </w:rPr>
              <w:t xml:space="preserve">  -  -  -  -  -  -  -  </w:t>
            </w:r>
            <w:r w:rsidRPr="009669FB">
              <w:rPr>
                <w:rFonts w:cstheme="minorHAnsi"/>
                <w:sz w:val="18"/>
              </w:rPr>
              <w:t xml:space="preserve">-  -  -  -  -  -  </w:t>
            </w:r>
            <w:r w:rsidRPr="009669FB">
              <w:rPr>
                <w:sz w:val="18"/>
              </w:rPr>
              <w:t>Christianity|</w:t>
            </w:r>
          </w:p>
        </w:tc>
        <w:tc>
          <w:tcPr>
            <w:tcW w:w="550" w:type="pct"/>
            <w:hideMark/>
          </w:tcPr>
          <w:p w:rsidR="00B15EE1" w:rsidRPr="009669FB" w:rsidRDefault="0002001F" w:rsidP="009669FB">
            <w:pPr>
              <w:spacing w:line="360" w:lineRule="auto"/>
              <w:cnfStyle w:val="100000000000"/>
              <w:rPr>
                <w:sz w:val="16"/>
              </w:rPr>
            </w:pPr>
            <w:r w:rsidRPr="009669FB">
              <w:rPr>
                <w:noProof/>
                <w:sz w:val="16"/>
              </w:rPr>
              <w:drawing>
                <wp:inline distT="0" distB="0" distL="0" distR="0">
                  <wp:extent cx="9525" cy="9525"/>
                  <wp:effectExtent l="0" t="0" r="0" b="0"/>
                  <wp:docPr id="11" name="Picture 11" descr="http://www.abs.gov.au/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bs.gov.au/icons/ecblank.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0" w:type="pct"/>
            <w:hideMark/>
          </w:tcPr>
          <w:p w:rsidR="00B15EE1" w:rsidRPr="009669FB" w:rsidRDefault="0002001F" w:rsidP="009669FB">
            <w:pPr>
              <w:spacing w:line="360" w:lineRule="auto"/>
              <w:cnfStyle w:val="100000000000"/>
              <w:rPr>
                <w:sz w:val="16"/>
              </w:rPr>
            </w:pPr>
            <w:r w:rsidRPr="009669FB">
              <w:rPr>
                <w:noProof/>
                <w:sz w:val="16"/>
              </w:rPr>
              <w:drawing>
                <wp:inline distT="0" distB="0" distL="0" distR="0">
                  <wp:extent cx="9525" cy="9525"/>
                  <wp:effectExtent l="0" t="0" r="0" b="0"/>
                  <wp:docPr id="10" name="Picture 10" descr="http://www.abs.gov.au/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bs.gov.au/icons/ecblank.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1149" w:type="pct"/>
            <w:gridSpan w:val="2"/>
            <w:tcBorders>
              <w:right w:val="single" w:sz="4" w:space="0" w:color="auto"/>
            </w:tcBorders>
            <w:hideMark/>
          </w:tcPr>
          <w:p w:rsidR="00B15EE1" w:rsidRPr="009669FB" w:rsidRDefault="0002001F" w:rsidP="009669FB">
            <w:pPr>
              <w:spacing w:line="360" w:lineRule="auto"/>
              <w:cnfStyle w:val="100000000000"/>
              <w:rPr>
                <w:sz w:val="16"/>
              </w:rPr>
            </w:pPr>
            <w:r w:rsidRPr="009669FB">
              <w:rPr>
                <w:noProof/>
                <w:sz w:val="16"/>
              </w:rPr>
              <w:drawing>
                <wp:inline distT="0" distB="0" distL="0" distR="0">
                  <wp:extent cx="9525" cy="9525"/>
                  <wp:effectExtent l="0" t="0" r="0" b="0"/>
                  <wp:docPr id="9" name="Picture 9" descr="http://www.abs.gov.au/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bs.gov.au/icons/ecblank.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9669FB">
              <w:rPr>
                <w:sz w:val="16"/>
              </w:rPr>
              <w:t xml:space="preserve"> </w:t>
            </w:r>
          </w:p>
        </w:tc>
      </w:tr>
      <w:tr w:rsidR="00F16ED1" w:rsidRPr="009669FB" w:rsidTr="00F16ED1">
        <w:trPr>
          <w:cnfStyle w:val="000000100000"/>
        </w:trPr>
        <w:tc>
          <w:tcPr>
            <w:cnfStyle w:val="001000000000"/>
            <w:tcW w:w="549" w:type="pct"/>
            <w:tcBorders>
              <w:left w:val="single" w:sz="4" w:space="0" w:color="auto"/>
            </w:tcBorders>
            <w:hideMark/>
          </w:tcPr>
          <w:p w:rsidR="00B15EE1" w:rsidRPr="009669FB" w:rsidRDefault="0002001F" w:rsidP="009669FB">
            <w:pPr>
              <w:spacing w:line="360" w:lineRule="auto"/>
              <w:jc w:val="center"/>
              <w:rPr>
                <w:sz w:val="18"/>
              </w:rPr>
            </w:pPr>
            <w:r w:rsidRPr="009669FB">
              <w:rPr>
                <w:noProof/>
                <w:sz w:val="18"/>
              </w:rPr>
              <w:drawing>
                <wp:inline distT="0" distB="0" distL="0" distR="0">
                  <wp:extent cx="9525" cy="9525"/>
                  <wp:effectExtent l="0" t="0" r="0" b="0"/>
                  <wp:docPr id="2" name="Picture 2" descr="http://www.abs.gov.au/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bs.gov.au/icons/ecblank.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0" w:type="pct"/>
            <w:vAlign w:val="center"/>
            <w:hideMark/>
          </w:tcPr>
          <w:p w:rsidR="00B15EE1" w:rsidRPr="009669FB" w:rsidRDefault="0002001F" w:rsidP="009669FB">
            <w:pPr>
              <w:spacing w:line="360" w:lineRule="auto"/>
              <w:jc w:val="center"/>
              <w:cnfStyle w:val="000000100000"/>
              <w:rPr>
                <w:sz w:val="18"/>
              </w:rPr>
            </w:pPr>
            <w:r w:rsidRPr="009669FB">
              <w:rPr>
                <w:sz w:val="18"/>
              </w:rPr>
              <w:t>Anglican</w:t>
            </w:r>
          </w:p>
        </w:tc>
        <w:tc>
          <w:tcPr>
            <w:tcW w:w="550" w:type="pct"/>
            <w:vAlign w:val="center"/>
            <w:hideMark/>
          </w:tcPr>
          <w:p w:rsidR="00B15EE1" w:rsidRPr="009669FB" w:rsidRDefault="0002001F" w:rsidP="009669FB">
            <w:pPr>
              <w:spacing w:line="360" w:lineRule="auto"/>
              <w:jc w:val="center"/>
              <w:cnfStyle w:val="000000100000"/>
              <w:rPr>
                <w:sz w:val="18"/>
              </w:rPr>
            </w:pPr>
            <w:r w:rsidRPr="009669FB">
              <w:rPr>
                <w:sz w:val="18"/>
              </w:rPr>
              <w:t>Catholic</w:t>
            </w:r>
          </w:p>
        </w:tc>
        <w:tc>
          <w:tcPr>
            <w:tcW w:w="550" w:type="pct"/>
            <w:vAlign w:val="center"/>
            <w:hideMark/>
          </w:tcPr>
          <w:p w:rsidR="00B15EE1" w:rsidRPr="009669FB" w:rsidRDefault="0002001F" w:rsidP="009669FB">
            <w:pPr>
              <w:spacing w:line="360" w:lineRule="auto"/>
              <w:jc w:val="center"/>
              <w:cnfStyle w:val="000000100000"/>
              <w:rPr>
                <w:sz w:val="18"/>
              </w:rPr>
            </w:pPr>
            <w:r w:rsidRPr="009669FB">
              <w:rPr>
                <w:sz w:val="18"/>
              </w:rPr>
              <w:t>Other</w:t>
            </w:r>
          </w:p>
        </w:tc>
        <w:tc>
          <w:tcPr>
            <w:tcW w:w="552" w:type="pct"/>
            <w:tcBorders>
              <w:top w:val="nil"/>
              <w:bottom w:val="nil"/>
              <w:right w:val="nil"/>
            </w:tcBorders>
            <w:vAlign w:val="center"/>
            <w:hideMark/>
          </w:tcPr>
          <w:p w:rsidR="00B15EE1" w:rsidRPr="009669FB" w:rsidRDefault="0002001F" w:rsidP="009669FB">
            <w:pPr>
              <w:spacing w:line="360" w:lineRule="auto"/>
              <w:jc w:val="center"/>
              <w:cnfStyle w:val="000000100000"/>
              <w:rPr>
                <w:sz w:val="18"/>
              </w:rPr>
            </w:pPr>
            <w:r w:rsidRPr="009669FB">
              <w:rPr>
                <w:sz w:val="18"/>
              </w:rPr>
              <w:t>Total</w:t>
            </w:r>
          </w:p>
        </w:tc>
        <w:tc>
          <w:tcPr>
            <w:tcW w:w="550" w:type="pct"/>
            <w:tcBorders>
              <w:top w:val="single" w:sz="4" w:space="0" w:color="auto"/>
              <w:left w:val="nil"/>
              <w:bottom w:val="nil"/>
            </w:tcBorders>
            <w:vAlign w:val="center"/>
            <w:hideMark/>
          </w:tcPr>
          <w:p w:rsidR="00B15EE1" w:rsidRPr="009669FB" w:rsidRDefault="0002001F" w:rsidP="009669FB">
            <w:pPr>
              <w:spacing w:line="360" w:lineRule="auto"/>
              <w:jc w:val="center"/>
              <w:cnfStyle w:val="000000100000"/>
              <w:rPr>
                <w:sz w:val="18"/>
              </w:rPr>
            </w:pPr>
            <w:r w:rsidRPr="009669FB">
              <w:rPr>
                <w:sz w:val="18"/>
              </w:rPr>
              <w:t>Other</w:t>
            </w:r>
            <w:r w:rsidRPr="009669FB">
              <w:rPr>
                <w:sz w:val="18"/>
              </w:rPr>
              <w:br/>
              <w:t>religions</w:t>
            </w:r>
          </w:p>
        </w:tc>
        <w:tc>
          <w:tcPr>
            <w:tcW w:w="550" w:type="pct"/>
            <w:vAlign w:val="center"/>
            <w:hideMark/>
          </w:tcPr>
          <w:p w:rsidR="00B15EE1" w:rsidRPr="009669FB" w:rsidRDefault="0002001F" w:rsidP="009669FB">
            <w:pPr>
              <w:spacing w:line="360" w:lineRule="auto"/>
              <w:jc w:val="center"/>
              <w:cnfStyle w:val="000000100000"/>
              <w:rPr>
                <w:sz w:val="18"/>
              </w:rPr>
            </w:pPr>
            <w:r w:rsidRPr="009669FB">
              <w:rPr>
                <w:sz w:val="18"/>
              </w:rPr>
              <w:t>No</w:t>
            </w:r>
            <w:r w:rsidRPr="009669FB">
              <w:rPr>
                <w:sz w:val="18"/>
              </w:rPr>
              <w:br/>
              <w:t>religion</w:t>
            </w:r>
          </w:p>
        </w:tc>
        <w:tc>
          <w:tcPr>
            <w:tcW w:w="580" w:type="pct"/>
            <w:tcBorders>
              <w:right w:val="nil"/>
            </w:tcBorders>
            <w:vAlign w:val="center"/>
            <w:hideMark/>
          </w:tcPr>
          <w:p w:rsidR="00B15EE1" w:rsidRPr="009669FB" w:rsidRDefault="0002001F" w:rsidP="009669FB">
            <w:pPr>
              <w:spacing w:line="360" w:lineRule="auto"/>
              <w:jc w:val="center"/>
              <w:cnfStyle w:val="000000100000"/>
              <w:rPr>
                <w:sz w:val="18"/>
              </w:rPr>
            </w:pPr>
            <w:r w:rsidRPr="009669FB">
              <w:rPr>
                <w:sz w:val="18"/>
              </w:rPr>
              <w:t>Not stated/ inadequately described</w:t>
            </w:r>
          </w:p>
        </w:tc>
        <w:tc>
          <w:tcPr>
            <w:tcW w:w="569" w:type="pct"/>
            <w:tcBorders>
              <w:top w:val="nil"/>
              <w:left w:val="nil"/>
              <w:bottom w:val="nil"/>
              <w:right w:val="single" w:sz="4" w:space="0" w:color="auto"/>
            </w:tcBorders>
            <w:vAlign w:val="center"/>
            <w:hideMark/>
          </w:tcPr>
          <w:p w:rsidR="00B15EE1" w:rsidRPr="009669FB" w:rsidRDefault="0002001F" w:rsidP="009669FB">
            <w:pPr>
              <w:spacing w:line="360" w:lineRule="auto"/>
              <w:jc w:val="center"/>
              <w:cnfStyle w:val="000000100000"/>
              <w:rPr>
                <w:sz w:val="18"/>
              </w:rPr>
            </w:pPr>
            <w:r w:rsidRPr="009669FB">
              <w:rPr>
                <w:b/>
                <w:bCs/>
                <w:sz w:val="18"/>
              </w:rPr>
              <w:t>Total</w:t>
            </w:r>
          </w:p>
        </w:tc>
      </w:tr>
      <w:tr w:rsidR="009669FB"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Census year</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52" w:type="pct"/>
            <w:tcBorders>
              <w:top w:val="nil"/>
              <w:bottom w:val="nil"/>
              <w:right w:val="nil"/>
            </w:tcBorders>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50" w:type="pct"/>
            <w:tcBorders>
              <w:top w:val="nil"/>
              <w:left w:val="nil"/>
              <w:bottom w:val="nil"/>
            </w:tcBorders>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80" w:type="pct"/>
            <w:tcBorders>
              <w:right w:val="nil"/>
            </w:tcBorders>
            <w:vAlign w:val="center"/>
            <w:hideMark/>
          </w:tcPr>
          <w:p w:rsidR="00B15EE1" w:rsidRPr="009669FB" w:rsidRDefault="0002001F" w:rsidP="009669FB">
            <w:pPr>
              <w:spacing w:line="360" w:lineRule="auto"/>
              <w:jc w:val="center"/>
              <w:cnfStyle w:val="000000000000"/>
              <w:rPr>
                <w:sz w:val="16"/>
              </w:rPr>
            </w:pPr>
            <w:r w:rsidRPr="009669FB">
              <w:rPr>
                <w:sz w:val="16"/>
              </w:rPr>
              <w:t>%</w:t>
            </w:r>
          </w:p>
        </w:tc>
        <w:tc>
          <w:tcPr>
            <w:tcW w:w="569" w:type="pct"/>
            <w:tcBorders>
              <w:top w:val="nil"/>
              <w:left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'000</w:t>
            </w:r>
          </w:p>
        </w:tc>
      </w:tr>
      <w:tr w:rsidR="007A66B8" w:rsidRPr="009669FB" w:rsidTr="00F16ED1">
        <w:trPr>
          <w:cnfStyle w:val="000000100000"/>
        </w:trPr>
        <w:tc>
          <w:tcPr>
            <w:cnfStyle w:val="001000000000"/>
            <w:tcW w:w="5000" w:type="pct"/>
            <w:gridSpan w:val="9"/>
            <w:tcBorders>
              <w:top w:val="nil"/>
              <w:left w:val="single" w:sz="4" w:space="0" w:color="auto"/>
              <w:right w:val="single" w:sz="4" w:space="0" w:color="auto"/>
            </w:tcBorders>
            <w:hideMark/>
          </w:tcPr>
          <w:p w:rsidR="00B15EE1" w:rsidRPr="009669FB" w:rsidRDefault="009D29FE" w:rsidP="009669FB">
            <w:pPr>
              <w:spacing w:line="360" w:lineRule="auto"/>
              <w:jc w:val="center"/>
              <w:rPr>
                <w:sz w:val="18"/>
              </w:rPr>
            </w:pPr>
            <w:r w:rsidRPr="009669FB">
              <w:rPr>
                <w:sz w:val="18"/>
              </w:rPr>
              <w:pict>
                <v:rect id="_x0000_i1025" style="width:451.3pt;height:1.5pt" o:hralign="center" o:hrstd="t" o:hrnoshade="t" o:hr="t" fillcolor="black" stroked="f"/>
              </w:pic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1901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39.7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22.7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33.7</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96.1</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1.4</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0.4</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(a)2.0</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3,773.8</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1911</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38.4</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22.4</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35.1</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95.9</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0.8</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0.4</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(a)2.9</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4,455.0</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1921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43.7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21.7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31.6</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96.9</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0.7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0.5</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(a)1.9</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5,435.7</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1933</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38.7</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19.6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28.1</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86.4</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0.4</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0.2</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12.9</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6,629.8</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1947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39.0</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20.9</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28.1</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88.0</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0.5</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0.3</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11.1</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7,579.4</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1954</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37.9</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22.9</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28.5</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89.4</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0.6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0.3</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9.7</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8,986.5</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1961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34.9</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24.9</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28.4</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88.3</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0.7</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0.4</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10.7</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10,508.2</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1966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33.5</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26.2</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28.5</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88.2</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0.7</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0.8</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10.3</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11,599.5</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1971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31.0</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27.0</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28.2</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86.2</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0.8</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6.7</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6.2</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12,755.6</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1976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27.7</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25.7</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25.2</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78.6</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1.0</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8.3</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11.4</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13,548.4</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1981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26.1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26.0</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24.3</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76.4</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1.4</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10.8</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11.4</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14,576.3</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1986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23.9</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26.0</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23.0</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73.0</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2.0</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12.7</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12.4</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15,602.2</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1991</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23.8</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27.3</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22.9</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74.0</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2.6</w:t>
            </w:r>
          </w:p>
        </w:tc>
        <w:tc>
          <w:tcPr>
            <w:tcW w:w="550" w:type="pct"/>
            <w:vAlign w:val="center"/>
            <w:hideMark/>
          </w:tcPr>
          <w:p w:rsidR="00B15EE1" w:rsidRPr="009669FB" w:rsidRDefault="0002001F" w:rsidP="009669FB">
            <w:pPr>
              <w:spacing w:line="360" w:lineRule="auto"/>
              <w:jc w:val="center"/>
              <w:cnfStyle w:val="000000000000"/>
              <w:rPr>
                <w:sz w:val="16"/>
              </w:rPr>
            </w:pPr>
            <w:r w:rsidRPr="009669FB">
              <w:rPr>
                <w:sz w:val="16"/>
              </w:rPr>
              <w:t>12.9</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10.5</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16,850.3</w:t>
            </w:r>
          </w:p>
        </w:tc>
      </w:tr>
      <w:tr w:rsidR="009669FB" w:rsidRPr="009669FB" w:rsidTr="00F16ED1">
        <w:trPr>
          <w:cnfStyle w:val="000000100000"/>
        </w:trPr>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8"/>
              </w:rPr>
            </w:pPr>
            <w:r w:rsidRPr="009669FB">
              <w:rPr>
                <w:sz w:val="18"/>
              </w:rPr>
              <w:t>1996</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22.0</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27.0</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21.9</w:t>
            </w:r>
          </w:p>
        </w:tc>
        <w:tc>
          <w:tcPr>
            <w:tcW w:w="552" w:type="pct"/>
            <w:tcBorders>
              <w:top w:val="nil"/>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70.9</w:t>
            </w:r>
          </w:p>
        </w:tc>
        <w:tc>
          <w:tcPr>
            <w:tcW w:w="550" w:type="pct"/>
            <w:tcBorders>
              <w:lef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3.5</w:t>
            </w:r>
          </w:p>
        </w:tc>
        <w:tc>
          <w:tcPr>
            <w:tcW w:w="550" w:type="pct"/>
            <w:vAlign w:val="center"/>
            <w:hideMark/>
          </w:tcPr>
          <w:p w:rsidR="00B15EE1" w:rsidRPr="009669FB" w:rsidRDefault="0002001F" w:rsidP="009669FB">
            <w:pPr>
              <w:spacing w:line="360" w:lineRule="auto"/>
              <w:jc w:val="center"/>
              <w:cnfStyle w:val="000000100000"/>
              <w:rPr>
                <w:sz w:val="16"/>
              </w:rPr>
            </w:pPr>
            <w:r w:rsidRPr="009669FB">
              <w:rPr>
                <w:sz w:val="16"/>
              </w:rPr>
              <w:t>16.6</w:t>
            </w:r>
          </w:p>
        </w:tc>
        <w:tc>
          <w:tcPr>
            <w:tcW w:w="580" w:type="pct"/>
            <w:tcBorders>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sz w:val="16"/>
              </w:rPr>
              <w:t>9.0</w:t>
            </w:r>
          </w:p>
        </w:tc>
        <w:tc>
          <w:tcPr>
            <w:tcW w:w="569" w:type="pct"/>
            <w:tcBorders>
              <w:top w:val="nil"/>
              <w:left w:val="single" w:sz="4" w:space="0" w:color="auto"/>
              <w:bottom w:val="nil"/>
              <w:right w:val="single" w:sz="4" w:space="0" w:color="auto"/>
            </w:tcBorders>
            <w:vAlign w:val="center"/>
            <w:hideMark/>
          </w:tcPr>
          <w:p w:rsidR="00B15EE1" w:rsidRPr="009669FB" w:rsidRDefault="0002001F" w:rsidP="009669FB">
            <w:pPr>
              <w:spacing w:line="360" w:lineRule="auto"/>
              <w:jc w:val="center"/>
              <w:cnfStyle w:val="000000100000"/>
              <w:rPr>
                <w:sz w:val="16"/>
              </w:rPr>
            </w:pPr>
            <w:r w:rsidRPr="009669FB">
              <w:rPr>
                <w:b/>
                <w:bCs/>
                <w:sz w:val="16"/>
              </w:rPr>
              <w:t>17,752.8</w:t>
            </w:r>
          </w:p>
        </w:tc>
      </w:tr>
      <w:tr w:rsidR="007A66B8" w:rsidRPr="009669FB" w:rsidTr="00F16ED1">
        <w:tc>
          <w:tcPr>
            <w:cnfStyle w:val="001000000000"/>
            <w:tcW w:w="549" w:type="pct"/>
            <w:tcBorders>
              <w:left w:val="single" w:sz="4" w:space="0" w:color="auto"/>
            </w:tcBorders>
            <w:vAlign w:val="center"/>
            <w:hideMark/>
          </w:tcPr>
          <w:p w:rsidR="00B15EE1" w:rsidRPr="009669FB" w:rsidRDefault="0002001F" w:rsidP="009669FB">
            <w:pPr>
              <w:spacing w:line="360" w:lineRule="auto"/>
              <w:jc w:val="center"/>
              <w:rPr>
                <w:sz w:val="16"/>
              </w:rPr>
            </w:pPr>
            <w:r w:rsidRPr="009669FB">
              <w:rPr>
                <w:sz w:val="16"/>
              </w:rPr>
              <w:t>2001</w:t>
            </w:r>
          </w:p>
        </w:tc>
        <w:tc>
          <w:tcPr>
            <w:tcW w:w="550" w:type="pct"/>
            <w:tcBorders>
              <w:bottom w:val="single" w:sz="18"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20.7</w:t>
            </w:r>
          </w:p>
        </w:tc>
        <w:tc>
          <w:tcPr>
            <w:tcW w:w="550" w:type="pct"/>
            <w:tcBorders>
              <w:bottom w:val="single" w:sz="18"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26.6</w:t>
            </w:r>
          </w:p>
        </w:tc>
        <w:tc>
          <w:tcPr>
            <w:tcW w:w="550" w:type="pct"/>
            <w:tcBorders>
              <w:bottom w:val="single" w:sz="18"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20.7</w:t>
            </w:r>
          </w:p>
        </w:tc>
        <w:tc>
          <w:tcPr>
            <w:tcW w:w="552" w:type="pct"/>
            <w:tcBorders>
              <w:top w:val="nil"/>
              <w:bottom w:val="single" w:sz="18" w:space="0" w:color="auto"/>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68.0</w:t>
            </w:r>
          </w:p>
        </w:tc>
        <w:tc>
          <w:tcPr>
            <w:tcW w:w="550" w:type="pct"/>
            <w:tcBorders>
              <w:left w:val="single" w:sz="4" w:space="0" w:color="auto"/>
              <w:bottom w:val="single" w:sz="18"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4.9</w:t>
            </w:r>
          </w:p>
        </w:tc>
        <w:tc>
          <w:tcPr>
            <w:tcW w:w="550" w:type="pct"/>
            <w:tcBorders>
              <w:bottom w:val="single" w:sz="18"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15.5</w:t>
            </w:r>
          </w:p>
        </w:tc>
        <w:tc>
          <w:tcPr>
            <w:tcW w:w="580" w:type="pct"/>
            <w:tcBorders>
              <w:bottom w:val="single" w:sz="18" w:space="0" w:color="auto"/>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sz w:val="16"/>
              </w:rPr>
              <w:t>11.7</w:t>
            </w:r>
          </w:p>
        </w:tc>
        <w:tc>
          <w:tcPr>
            <w:tcW w:w="569" w:type="pct"/>
            <w:tcBorders>
              <w:top w:val="nil"/>
              <w:left w:val="single" w:sz="4" w:space="0" w:color="auto"/>
              <w:bottom w:val="single" w:sz="18" w:space="0" w:color="auto"/>
              <w:right w:val="single" w:sz="4" w:space="0" w:color="auto"/>
            </w:tcBorders>
            <w:vAlign w:val="center"/>
            <w:hideMark/>
          </w:tcPr>
          <w:p w:rsidR="00B15EE1" w:rsidRPr="009669FB" w:rsidRDefault="0002001F" w:rsidP="009669FB">
            <w:pPr>
              <w:spacing w:line="360" w:lineRule="auto"/>
              <w:jc w:val="center"/>
              <w:cnfStyle w:val="000000000000"/>
              <w:rPr>
                <w:sz w:val="16"/>
              </w:rPr>
            </w:pPr>
            <w:r w:rsidRPr="009669FB">
              <w:rPr>
                <w:b/>
                <w:bCs/>
                <w:sz w:val="16"/>
              </w:rPr>
              <w:t>18,769.2</w:t>
            </w:r>
          </w:p>
        </w:tc>
      </w:tr>
    </w:tbl>
    <w:p w:rsidR="00B15EE1" w:rsidRPr="007A66B8" w:rsidRDefault="0002001F" w:rsidP="009E3FD0">
      <w:pPr>
        <w:spacing w:before="120" w:after="0" w:line="360" w:lineRule="auto"/>
        <w:rPr>
          <w:b/>
          <w:i/>
        </w:rPr>
      </w:pPr>
      <w:r>
        <w:rPr>
          <w:b/>
          <w:i/>
        </w:rPr>
        <w:t xml:space="preserve">Figure 1: </w:t>
      </w:r>
      <w:r w:rsidRPr="00AB3162">
        <w:rPr>
          <w:i/>
        </w:rPr>
        <w:t>Religious Affiliation in Australia</w:t>
      </w:r>
    </w:p>
    <w:p w:rsidR="00B15EE1" w:rsidRDefault="0002001F" w:rsidP="009E3FD0">
      <w:pPr>
        <w:spacing w:before="120" w:after="0" w:line="360" w:lineRule="auto"/>
      </w:pPr>
      <w:r>
        <w:t>(</w:t>
      </w:r>
      <w:r w:rsidRPr="000271D0">
        <w:rPr>
          <w:i/>
        </w:rPr>
        <w:t>Australian Bureau of Statistics, 2007</w:t>
      </w:r>
      <w:r>
        <w:t xml:space="preserve">) </w:t>
      </w:r>
    </w:p>
    <w:p w:rsidR="00B15EE1" w:rsidRPr="007A66B8" w:rsidRDefault="0002001F" w:rsidP="009E3FD0">
      <w:pPr>
        <w:spacing w:before="120" w:after="0" w:line="360" w:lineRule="auto"/>
        <w:rPr>
          <w:b/>
        </w:rPr>
      </w:pPr>
      <w:r w:rsidRPr="007A66B8">
        <w:rPr>
          <w:b/>
        </w:rPr>
        <w:lastRenderedPageBreak/>
        <w:t>Economic Sustainability</w:t>
      </w:r>
      <w:r>
        <w:rPr>
          <w:b/>
        </w:rPr>
        <w:t>:</w:t>
      </w:r>
    </w:p>
    <w:p w:rsidR="00D94BB4" w:rsidRDefault="0002001F" w:rsidP="009E3FD0">
      <w:pPr>
        <w:spacing w:before="120" w:after="0" w:line="360" w:lineRule="auto"/>
      </w:pPr>
      <w:r>
        <w:t xml:space="preserve">Dark tourism may not always be marketed </w:t>
      </w:r>
      <w:r w:rsidR="007C529F">
        <w:t xml:space="preserve">intentionally </w:t>
      </w:r>
      <w:r>
        <w:t>as a selling point to attract tourists</w:t>
      </w:r>
      <w:r w:rsidR="007C529F">
        <w:t xml:space="preserve"> but the continual media attention of certain horrific events only lead</w:t>
      </w:r>
      <w:r w:rsidR="00764814">
        <w:t>s</w:t>
      </w:r>
      <w:r w:rsidR="007C529F">
        <w:t xml:space="preserve"> to curious tourists around the world. T</w:t>
      </w:r>
      <w:r>
        <w:t>here will always be those who are curious enough to travel to</w:t>
      </w:r>
      <w:r>
        <w:t xml:space="preserve"> certain places of grief or death to have in their mind a real life vision of the place that a tragedy has occurred. This curiosity </w:t>
      </w:r>
      <w:r w:rsidR="00E42E71">
        <w:t>attracts</w:t>
      </w:r>
      <w:r>
        <w:t xml:space="preserve"> people to </w:t>
      </w:r>
      <w:r>
        <w:t>places across the world and add</w:t>
      </w:r>
      <w:r w:rsidR="00E42E71">
        <w:t>s</w:t>
      </w:r>
      <w:r>
        <w:t xml:space="preserve"> to the</w:t>
      </w:r>
      <w:r w:rsidR="00764814">
        <w:t xml:space="preserve"> general tourism population in that region</w:t>
      </w:r>
      <w:r>
        <w:t>.</w:t>
      </w:r>
      <w:r>
        <w:t xml:space="preserve"> Pilgrimage tourism on the other hand is not related to negative events so tours</w:t>
      </w:r>
      <w:r>
        <w:t>, church camps, cruises</w:t>
      </w:r>
      <w:r>
        <w:t xml:space="preserve"> and</w:t>
      </w:r>
      <w:r>
        <w:t xml:space="preserve"> even</w:t>
      </w:r>
      <w:r>
        <w:t xml:space="preserve"> souvenirs </w:t>
      </w:r>
      <w:r w:rsidR="00764814">
        <w:t>are</w:t>
      </w:r>
      <w:r>
        <w:t xml:space="preserve"> a source of income to increase the money made in that </w:t>
      </w:r>
      <w:r w:rsidR="00E42E71">
        <w:t>sector</w:t>
      </w:r>
      <w:r>
        <w:t xml:space="preserve"> of tourism.</w:t>
      </w:r>
      <w:r>
        <w:t xml:space="preserve"> In a way</w:t>
      </w:r>
      <w:r w:rsidR="00E42E71">
        <w:t>,</w:t>
      </w:r>
      <w:r>
        <w:t xml:space="preserve"> P</w:t>
      </w:r>
      <w:r>
        <w:t xml:space="preserve">ilgrimage tourism has been </w:t>
      </w:r>
      <w:r>
        <w:t xml:space="preserve">commodified </w:t>
      </w:r>
      <w:r>
        <w:t>to appeal to the modern day person, incorporating leisure and relaxation aspects of some tour packages</w:t>
      </w:r>
      <w:r>
        <w:t xml:space="preserve"> (</w:t>
      </w:r>
      <w:r>
        <w:rPr>
          <w:i/>
        </w:rPr>
        <w:t>Tour about)</w:t>
      </w:r>
      <w:r>
        <w:t xml:space="preserve">. People are not as traditional with their beliefs </w:t>
      </w:r>
      <w:r w:rsidR="00764814">
        <w:t>compared to</w:t>
      </w:r>
      <w:r>
        <w:t xml:space="preserve"> hundred</w:t>
      </w:r>
      <w:r w:rsidR="00764814">
        <w:t>s of</w:t>
      </w:r>
      <w:r>
        <w:t xml:space="preserve"> years ago and the old-fashio</w:t>
      </w:r>
      <w:r>
        <w:t>ned pilgrimages would not appeal to as many people as much as the new ways to go on a spiritual journey</w:t>
      </w:r>
      <w:r w:rsidR="00764814">
        <w:t xml:space="preserve"> do</w:t>
      </w:r>
      <w:r>
        <w:t>.</w:t>
      </w:r>
      <w:r>
        <w:t xml:space="preserve"> Like Dark tourism, the general tourism dollar is a result of Pilgrimage tourists with money being spent on accommodation, food and other local business</w:t>
      </w:r>
      <w:r>
        <w:t>es in the region that the tourists are visiting.</w:t>
      </w:r>
    </w:p>
    <w:p w:rsidR="00D94BB4" w:rsidRDefault="0002001F" w:rsidP="009E3FD0">
      <w:pPr>
        <w:spacing w:before="120" w:after="0" w:line="360" w:lineRule="auto"/>
        <w:rPr>
          <w:b/>
        </w:rPr>
      </w:pPr>
      <w:r>
        <w:rPr>
          <w:b/>
        </w:rPr>
        <w:t>Social I</w:t>
      </w:r>
      <w:r>
        <w:rPr>
          <w:b/>
        </w:rPr>
        <w:t>ssues/Government Impact</w:t>
      </w:r>
      <w:r>
        <w:rPr>
          <w:b/>
        </w:rPr>
        <w:t>:</w:t>
      </w:r>
    </w:p>
    <w:p w:rsidR="00BF2795" w:rsidRDefault="00293F06" w:rsidP="009E3FD0">
      <w:pPr>
        <w:spacing w:before="120" w:after="0" w:line="360" w:lineRule="auto"/>
      </w:pPr>
      <w:r>
        <w:t xml:space="preserve">Although it is not a law, in dark tourism an ethical rule that most people are obliged to follow is that any information shared on a tour is the same information and same story that has always been told. </w:t>
      </w:r>
    </w:p>
    <w:p w:rsidR="009B5010" w:rsidRDefault="009B5010" w:rsidP="009E3FD0">
      <w:pPr>
        <w:spacing w:before="120" w:after="0" w:line="360" w:lineRule="auto"/>
        <w:rPr>
          <w:b/>
        </w:rPr>
      </w:pPr>
      <w:r>
        <w:rPr>
          <w:b/>
        </w:rPr>
        <w:t>Conclusions:</w:t>
      </w:r>
    </w:p>
    <w:p w:rsidR="009B5010" w:rsidRPr="009B5010" w:rsidRDefault="009B5010" w:rsidP="009E3FD0">
      <w:pPr>
        <w:spacing w:before="120" w:after="0" w:line="360" w:lineRule="auto"/>
      </w:pPr>
      <w:r>
        <w:t xml:space="preserve">With regards to Pilgrimage tourism, there is no doubt that it is a sustainable tourism sector. </w:t>
      </w:r>
      <w:r w:rsidR="00764814">
        <w:t>This is evident because</w:t>
      </w:r>
      <w:r>
        <w:t xml:space="preserve"> after over 1,000 years, the interest is still amongst people. Dark tourism has also been around for many years with more sites and attractions being formed as the years go by. One</w:t>
      </w:r>
      <w:r w:rsidR="00764814">
        <w:t xml:space="preserve"> change that should be made to </w:t>
      </w:r>
      <w:r>
        <w:t xml:space="preserve"> sites in the dark tourism industry is legal barriers should be introduced, preventing people from going within a cert</w:t>
      </w:r>
      <w:r w:rsidR="00764814">
        <w:t>ain distance of</w:t>
      </w:r>
      <w:r>
        <w:t xml:space="preserve"> certain sites because the locals do not need to be reminded constantly </w:t>
      </w:r>
      <w:r w:rsidR="00764814">
        <w:t xml:space="preserve">by inquisitive tourists exploring the area, </w:t>
      </w:r>
      <w:r>
        <w:t>of the tragedies that have occurred.</w:t>
      </w:r>
    </w:p>
    <w:p w:rsidR="007A203F" w:rsidRDefault="0002001F" w:rsidP="009E3FD0">
      <w:pPr>
        <w:spacing w:before="120" w:after="0" w:line="360" w:lineRule="auto"/>
      </w:pPr>
      <w:r>
        <w:br w:type="page"/>
      </w:r>
    </w:p>
    <w:p w:rsidR="003A07B1" w:rsidRPr="00A87534" w:rsidRDefault="0002001F" w:rsidP="009E3FD0">
      <w:pPr>
        <w:spacing w:line="360" w:lineRule="auto"/>
        <w:jc w:val="center"/>
        <w:rPr>
          <w:b/>
          <w:sz w:val="28"/>
        </w:rPr>
      </w:pPr>
      <w:r w:rsidRPr="00A87534">
        <w:rPr>
          <w:b/>
          <w:sz w:val="28"/>
        </w:rPr>
        <w:lastRenderedPageBreak/>
        <w:t>Bibliography:</w:t>
      </w:r>
    </w:p>
    <w:p w:rsidR="003A07B1" w:rsidRPr="00A87534" w:rsidRDefault="0002001F" w:rsidP="00F050AD">
      <w:pPr>
        <w:spacing w:after="0"/>
        <w:rPr>
          <w:rFonts w:ascii="Arial" w:eastAsia="Times New Roman" w:hAnsi="Arial" w:cs="Arial"/>
          <w:color w:val="333333"/>
        </w:rPr>
      </w:pPr>
      <w:r w:rsidRPr="00A87534">
        <w:rPr>
          <w:rFonts w:ascii="Arial" w:eastAsia="Times New Roman" w:hAnsi="Arial" w:cs="Arial"/>
          <w:color w:val="333333"/>
        </w:rPr>
        <w:t xml:space="preserve">Travel Industry Dictionary, </w:t>
      </w:r>
      <w:r w:rsidRPr="00A87534">
        <w:rPr>
          <w:rFonts w:ascii="Arial" w:eastAsia="Times New Roman" w:hAnsi="Arial" w:cs="Arial"/>
          <w:i/>
          <w:iCs/>
          <w:color w:val="333333"/>
        </w:rPr>
        <w:t>Define Pilgrimage</w:t>
      </w:r>
      <w:r w:rsidRPr="00A87534">
        <w:rPr>
          <w:rFonts w:ascii="Arial" w:eastAsia="Times New Roman" w:hAnsi="Arial" w:cs="Arial"/>
          <w:color w:val="333333"/>
        </w:rPr>
        <w:t xml:space="preserve">, accessed 02 March 2011, URL: </w:t>
      </w:r>
      <w:hyperlink r:id="rId8" w:history="1">
        <w:r w:rsidRPr="00B91025">
          <w:rPr>
            <w:rFonts w:ascii="Arial" w:eastAsia="Times New Roman" w:hAnsi="Arial" w:cs="Arial"/>
          </w:rPr>
          <w:t>http://www.travel-industry-dictionary.com/pilgrimage.html</w:t>
        </w:r>
      </w:hyperlink>
      <w:r>
        <w:rPr>
          <w:rFonts w:ascii="Arial" w:eastAsia="Times New Roman" w:hAnsi="Arial" w:cs="Arial"/>
        </w:rPr>
        <w:t xml:space="preserve"> </w:t>
      </w:r>
      <w:r w:rsidRPr="00A87534">
        <w:rPr>
          <w:rFonts w:ascii="Arial" w:eastAsia="Times New Roman" w:hAnsi="Arial" w:cs="Arial"/>
        </w:rPr>
        <w:t xml:space="preserve"> </w:t>
      </w:r>
      <w:r w:rsidRPr="00A87534">
        <w:rPr>
          <w:rFonts w:ascii="Arial" w:eastAsia="Times New Roman" w:hAnsi="Arial" w:cs="Arial"/>
          <w:color w:val="333333"/>
        </w:rPr>
        <w:t xml:space="preserve"> </w:t>
      </w:r>
    </w:p>
    <w:p w:rsidR="00401588" w:rsidRPr="00A87534" w:rsidRDefault="0002001F" w:rsidP="00F050AD">
      <w:pPr>
        <w:spacing w:after="0"/>
        <w:rPr>
          <w:rFonts w:ascii="Arial" w:eastAsia="Times New Roman" w:hAnsi="Arial" w:cs="Arial"/>
          <w:color w:val="333333"/>
        </w:rPr>
      </w:pPr>
    </w:p>
    <w:p w:rsidR="00755B77" w:rsidRPr="00A87534" w:rsidRDefault="0002001F" w:rsidP="00F050AD">
      <w:pPr>
        <w:spacing w:after="0"/>
        <w:rPr>
          <w:rFonts w:ascii="Arial" w:eastAsia="Times New Roman" w:hAnsi="Arial" w:cs="Arial"/>
          <w:color w:val="333333"/>
        </w:rPr>
      </w:pPr>
      <w:r w:rsidRPr="00A87534">
        <w:rPr>
          <w:rFonts w:ascii="Arial" w:eastAsia="Times New Roman" w:hAnsi="Arial" w:cs="Arial"/>
          <w:color w:val="333333"/>
        </w:rPr>
        <w:t xml:space="preserve">Travel Industry Dictionary, </w:t>
      </w:r>
      <w:r w:rsidRPr="00A87534">
        <w:rPr>
          <w:rFonts w:ascii="Arial" w:eastAsia="Times New Roman" w:hAnsi="Arial" w:cs="Arial"/>
          <w:i/>
          <w:iCs/>
          <w:color w:val="333333"/>
        </w:rPr>
        <w:t>Define Dark Tourism</w:t>
      </w:r>
      <w:r w:rsidRPr="00A87534">
        <w:rPr>
          <w:rFonts w:ascii="Arial" w:eastAsia="Times New Roman" w:hAnsi="Arial" w:cs="Arial"/>
          <w:color w:val="333333"/>
        </w:rPr>
        <w:t xml:space="preserve">, accessed 02 March 2011, URL: </w:t>
      </w:r>
      <w:hyperlink r:id="rId9" w:history="1">
        <w:r w:rsidRPr="00B91025">
          <w:rPr>
            <w:rFonts w:ascii="Arial" w:eastAsia="Times New Roman" w:hAnsi="Arial" w:cs="Arial"/>
          </w:rPr>
          <w:t>http://www.travel-industry-dictionary.com/d</w:t>
        </w:r>
        <w:r w:rsidRPr="00B91025">
          <w:rPr>
            <w:rFonts w:ascii="Arial" w:eastAsia="Times New Roman" w:hAnsi="Arial" w:cs="Arial"/>
          </w:rPr>
          <w:t>arktourism.html</w:t>
        </w:r>
      </w:hyperlink>
      <w:r>
        <w:rPr>
          <w:rFonts w:ascii="Arial" w:eastAsia="Times New Roman" w:hAnsi="Arial" w:cs="Arial"/>
        </w:rPr>
        <w:t xml:space="preserve"> </w:t>
      </w:r>
      <w:r w:rsidRPr="00A87534">
        <w:rPr>
          <w:rFonts w:ascii="Arial" w:eastAsia="Times New Roman" w:hAnsi="Arial" w:cs="Arial"/>
          <w:color w:val="333333"/>
        </w:rPr>
        <w:t xml:space="preserve"> </w:t>
      </w:r>
    </w:p>
    <w:p w:rsidR="00401588" w:rsidRPr="00A87534" w:rsidRDefault="0002001F" w:rsidP="00F050AD">
      <w:pPr>
        <w:spacing w:after="0"/>
        <w:rPr>
          <w:rFonts w:ascii="Arial" w:eastAsia="Times New Roman" w:hAnsi="Arial" w:cs="Arial"/>
          <w:color w:val="333333"/>
        </w:rPr>
      </w:pPr>
    </w:p>
    <w:p w:rsidR="00755B77" w:rsidRPr="00A87534" w:rsidRDefault="0002001F" w:rsidP="00F050AD">
      <w:pPr>
        <w:spacing w:after="0"/>
        <w:rPr>
          <w:rFonts w:ascii="Arial" w:eastAsia="Times New Roman" w:hAnsi="Arial" w:cs="Arial"/>
          <w:color w:val="333333"/>
        </w:rPr>
      </w:pPr>
      <w:r w:rsidRPr="00A87534">
        <w:rPr>
          <w:rFonts w:ascii="Arial" w:eastAsia="Times New Roman" w:hAnsi="Arial" w:cs="Arial"/>
          <w:color w:val="333333"/>
        </w:rPr>
        <w:t xml:space="preserve">Women on the Road, </w:t>
      </w:r>
      <w:r w:rsidRPr="00A87534">
        <w:rPr>
          <w:rFonts w:ascii="Arial" w:eastAsia="Times New Roman" w:hAnsi="Arial" w:cs="Arial"/>
          <w:i/>
          <w:iCs/>
          <w:color w:val="333333"/>
        </w:rPr>
        <w:t>Dark Tourism</w:t>
      </w:r>
      <w:r w:rsidRPr="00A87534">
        <w:rPr>
          <w:rFonts w:ascii="Arial" w:eastAsia="Times New Roman" w:hAnsi="Arial" w:cs="Arial"/>
          <w:color w:val="333333"/>
        </w:rPr>
        <w:t xml:space="preserve">, accessed 02 March 2011, </w:t>
      </w:r>
      <w:r w:rsidRPr="00A87534">
        <w:rPr>
          <w:rFonts w:ascii="Arial" w:eastAsia="Times New Roman" w:hAnsi="Arial" w:cs="Arial"/>
          <w:color w:val="333333"/>
        </w:rPr>
        <w:br/>
        <w:t xml:space="preserve">URL: </w:t>
      </w:r>
      <w:hyperlink r:id="rId10" w:history="1">
        <w:r w:rsidRPr="00B91025">
          <w:rPr>
            <w:rFonts w:ascii="Arial" w:eastAsia="Times New Roman" w:hAnsi="Arial" w:cs="Arial"/>
          </w:rPr>
          <w:t>http://www.women-on-the-road.com/dark-tourism.html</w:t>
        </w:r>
      </w:hyperlink>
      <w:r>
        <w:rPr>
          <w:rFonts w:ascii="Arial" w:eastAsia="Times New Roman" w:hAnsi="Arial" w:cs="Arial"/>
        </w:rPr>
        <w:t xml:space="preserve"> </w:t>
      </w:r>
      <w:r w:rsidRPr="00A87534">
        <w:rPr>
          <w:rFonts w:ascii="Arial" w:eastAsia="Times New Roman" w:hAnsi="Arial" w:cs="Arial"/>
          <w:color w:val="333333"/>
        </w:rPr>
        <w:t xml:space="preserve"> </w:t>
      </w:r>
    </w:p>
    <w:p w:rsidR="00401588" w:rsidRPr="00A87534" w:rsidRDefault="0002001F" w:rsidP="00F050AD">
      <w:pPr>
        <w:spacing w:after="0"/>
        <w:rPr>
          <w:rFonts w:ascii="Arial" w:hAnsi="Arial" w:cs="Arial"/>
        </w:rPr>
      </w:pPr>
    </w:p>
    <w:p w:rsidR="002B3164" w:rsidRPr="00A87534" w:rsidRDefault="0002001F" w:rsidP="00F050AD">
      <w:pPr>
        <w:spacing w:after="0"/>
        <w:rPr>
          <w:rFonts w:ascii="Arial" w:hAnsi="Arial" w:cs="Arial"/>
        </w:rPr>
      </w:pPr>
      <w:r w:rsidRPr="00A87534">
        <w:rPr>
          <w:rFonts w:ascii="Arial" w:hAnsi="Arial" w:cs="Arial"/>
        </w:rPr>
        <w:t xml:space="preserve">Vacation Ideas, </w:t>
      </w:r>
      <w:r w:rsidRPr="00A87534">
        <w:rPr>
          <w:rFonts w:ascii="Arial" w:hAnsi="Arial" w:cs="Arial"/>
          <w:i/>
          <w:iCs/>
        </w:rPr>
        <w:t>Top 10 Dark Tourism Destinations</w:t>
      </w:r>
      <w:r w:rsidRPr="00A87534">
        <w:rPr>
          <w:rFonts w:ascii="Arial" w:hAnsi="Arial" w:cs="Arial"/>
        </w:rPr>
        <w:t xml:space="preserve">, accessed 02 March 2011, </w:t>
      </w:r>
      <w:r w:rsidRPr="00A87534">
        <w:rPr>
          <w:rFonts w:ascii="Arial" w:hAnsi="Arial" w:cs="Arial"/>
        </w:rPr>
        <w:br/>
      </w:r>
      <w:r w:rsidRPr="00A87534">
        <w:rPr>
          <w:rFonts w:ascii="Arial" w:hAnsi="Arial" w:cs="Arial"/>
        </w:rPr>
        <w:t xml:space="preserve">URL: </w:t>
      </w:r>
      <w:hyperlink r:id="rId11" w:history="1">
        <w:r w:rsidRPr="00B91025">
          <w:rPr>
            <w:rFonts w:ascii="Arial" w:hAnsi="Arial" w:cs="Arial"/>
          </w:rPr>
          <w:t>http://www.vacationideas.me/travel-tips/top-10-dark-tourism-destinations</w:t>
        </w:r>
      </w:hyperlink>
      <w:r>
        <w:rPr>
          <w:rFonts w:ascii="Arial" w:hAnsi="Arial" w:cs="Arial"/>
        </w:rPr>
        <w:t xml:space="preserve"> </w:t>
      </w:r>
      <w:r w:rsidRPr="00A87534">
        <w:rPr>
          <w:rFonts w:ascii="Arial" w:hAnsi="Arial" w:cs="Arial"/>
        </w:rPr>
        <w:t xml:space="preserve"> </w:t>
      </w:r>
    </w:p>
    <w:p w:rsidR="00401588" w:rsidRPr="00A87534" w:rsidRDefault="0002001F" w:rsidP="00F050AD">
      <w:pPr>
        <w:spacing w:after="0"/>
        <w:rPr>
          <w:rFonts w:ascii="Arial" w:eastAsia="Times New Roman" w:hAnsi="Arial" w:cs="Arial"/>
          <w:color w:val="333333"/>
        </w:rPr>
      </w:pPr>
    </w:p>
    <w:p w:rsidR="002B3164" w:rsidRPr="00A87534" w:rsidRDefault="0002001F" w:rsidP="00F050AD">
      <w:pPr>
        <w:spacing w:after="0"/>
        <w:rPr>
          <w:rFonts w:ascii="Arial" w:eastAsia="Times New Roman" w:hAnsi="Arial" w:cs="Arial"/>
          <w:color w:val="333333"/>
        </w:rPr>
      </w:pPr>
      <w:r w:rsidRPr="00A87534">
        <w:rPr>
          <w:rFonts w:ascii="Arial" w:eastAsia="Times New Roman" w:hAnsi="Arial" w:cs="Arial"/>
        </w:rPr>
        <w:t>Doherty, B. April 28, 20</w:t>
      </w:r>
      <w:r w:rsidRPr="00A87534">
        <w:rPr>
          <w:rFonts w:ascii="Arial" w:eastAsia="Times New Roman" w:hAnsi="Arial" w:cs="Arial"/>
        </w:rPr>
        <w:t xml:space="preserve">06, </w:t>
      </w:r>
      <w:r w:rsidRPr="00A87534">
        <w:rPr>
          <w:rFonts w:ascii="Arial" w:eastAsia="Times New Roman" w:hAnsi="Arial" w:cs="Arial"/>
          <w:i/>
          <w:iCs/>
        </w:rPr>
        <w:t>Ten years on, the horrors of Port Arthur linger</w:t>
      </w:r>
      <w:r w:rsidRPr="00A87534">
        <w:rPr>
          <w:rFonts w:ascii="Arial" w:eastAsia="Times New Roman" w:hAnsi="Arial" w:cs="Arial"/>
        </w:rPr>
        <w:t xml:space="preserve">, The Age, accessed 02 March 2011, </w:t>
      </w:r>
      <w:r w:rsidRPr="00A87534">
        <w:rPr>
          <w:rFonts w:ascii="Arial" w:eastAsia="Times New Roman" w:hAnsi="Arial" w:cs="Arial"/>
          <w:color w:val="333333"/>
        </w:rPr>
        <w:br/>
        <w:t xml:space="preserve">URL: </w:t>
      </w:r>
      <w:hyperlink r:id="rId12" w:history="1">
        <w:r w:rsidRPr="00B91025">
          <w:rPr>
            <w:rFonts w:ascii="Arial" w:eastAsia="Times New Roman" w:hAnsi="Arial" w:cs="Arial"/>
          </w:rPr>
          <w:t>http://www.theage.com.au/news/nati</w:t>
        </w:r>
        <w:r w:rsidRPr="00B91025">
          <w:rPr>
            <w:rFonts w:ascii="Arial" w:eastAsia="Times New Roman" w:hAnsi="Arial" w:cs="Arial"/>
          </w:rPr>
          <w:t>onal/ten-years-on-the-horrors-of-port-arthur-linger/2006/04/27/1145861488344.html</w:t>
        </w:r>
      </w:hyperlink>
      <w:r>
        <w:rPr>
          <w:rFonts w:ascii="Arial" w:eastAsia="Times New Roman" w:hAnsi="Arial" w:cs="Arial"/>
        </w:rPr>
        <w:t xml:space="preserve"> </w:t>
      </w:r>
      <w:r w:rsidRPr="00A87534">
        <w:rPr>
          <w:rFonts w:ascii="Arial" w:eastAsia="Times New Roman" w:hAnsi="Arial" w:cs="Arial"/>
          <w:color w:val="333333"/>
        </w:rPr>
        <w:t xml:space="preserve"> </w:t>
      </w:r>
    </w:p>
    <w:p w:rsidR="002B3164" w:rsidRPr="00A87534" w:rsidRDefault="0002001F" w:rsidP="00F050AD">
      <w:pPr>
        <w:spacing w:after="0"/>
        <w:rPr>
          <w:rFonts w:ascii="Arial" w:hAnsi="Arial" w:cs="Arial"/>
          <w:color w:val="333333"/>
        </w:rPr>
      </w:pPr>
    </w:p>
    <w:p w:rsidR="009D7CE9" w:rsidRPr="00A87534" w:rsidRDefault="0002001F" w:rsidP="00F050AD">
      <w:pPr>
        <w:spacing w:after="0"/>
        <w:rPr>
          <w:rFonts w:ascii="Arial" w:eastAsia="Times New Roman" w:hAnsi="Arial" w:cs="Arial"/>
          <w:color w:val="333333"/>
        </w:rPr>
      </w:pPr>
      <w:r w:rsidRPr="00A87534">
        <w:rPr>
          <w:rFonts w:ascii="Arial" w:eastAsia="Times New Roman" w:hAnsi="Arial" w:cs="Arial"/>
        </w:rPr>
        <w:t xml:space="preserve">Australian Bureau of Statistics, </w:t>
      </w:r>
      <w:r w:rsidRPr="00A87534">
        <w:rPr>
          <w:rFonts w:ascii="Arial" w:eastAsia="Times New Roman" w:hAnsi="Arial" w:cs="Arial"/>
          <w:i/>
          <w:iCs/>
        </w:rPr>
        <w:t>RELIGIOUS AFFILIATION</w:t>
      </w:r>
      <w:r w:rsidRPr="00A87534">
        <w:rPr>
          <w:rFonts w:ascii="Arial" w:eastAsia="Times New Roman" w:hAnsi="Arial" w:cs="Arial"/>
        </w:rPr>
        <w:t xml:space="preserve"> January 2007, accessed 02 March 2011, </w:t>
      </w:r>
      <w:r w:rsidRPr="00A87534">
        <w:rPr>
          <w:rFonts w:ascii="Arial" w:eastAsia="Times New Roman" w:hAnsi="Arial" w:cs="Arial"/>
          <w:color w:val="333333"/>
        </w:rPr>
        <w:br/>
      </w:r>
      <w:r w:rsidRPr="00A87534">
        <w:rPr>
          <w:rFonts w:ascii="Arial" w:eastAsia="Times New Roman" w:hAnsi="Arial" w:cs="Arial"/>
          <w:u w:val="single"/>
        </w:rPr>
        <w:t>**table taken from this site as well</w:t>
      </w:r>
      <w:r w:rsidRPr="00A87534">
        <w:rPr>
          <w:rFonts w:ascii="Arial" w:eastAsia="Times New Roman" w:hAnsi="Arial" w:cs="Arial"/>
          <w:color w:val="333333"/>
        </w:rPr>
        <w:br/>
        <w:t xml:space="preserve">URL: </w:t>
      </w:r>
      <w:hyperlink r:id="rId13" w:history="1">
        <w:r w:rsidRPr="00B91025">
          <w:rPr>
            <w:rFonts w:ascii="Arial" w:eastAsia="Times New Roman" w:hAnsi="Arial" w:cs="Arial"/>
          </w:rPr>
          <w:t>http://www.abs.gov.au/ausstats/abs@.nsf/bb8db737e2af84b8ca2571780015701e/bfdda1ca506d6cfaca2570de0014496e!OpenDocument</w:t>
        </w:r>
      </w:hyperlink>
      <w:r>
        <w:rPr>
          <w:rFonts w:ascii="Arial" w:eastAsia="Times New Roman" w:hAnsi="Arial" w:cs="Arial"/>
        </w:rPr>
        <w:t xml:space="preserve"> </w:t>
      </w:r>
      <w:r w:rsidRPr="00A87534">
        <w:rPr>
          <w:rFonts w:ascii="Arial" w:eastAsia="Times New Roman" w:hAnsi="Arial" w:cs="Arial"/>
          <w:color w:val="333333"/>
        </w:rPr>
        <w:t xml:space="preserve"> </w:t>
      </w:r>
    </w:p>
    <w:p w:rsidR="009D7CE9" w:rsidRPr="00A87534" w:rsidRDefault="0002001F" w:rsidP="00F050AD">
      <w:pPr>
        <w:spacing w:after="0"/>
        <w:rPr>
          <w:rFonts w:ascii="Arial" w:hAnsi="Arial" w:cs="Arial"/>
        </w:rPr>
      </w:pPr>
    </w:p>
    <w:p w:rsidR="00956BE5" w:rsidRDefault="0002001F" w:rsidP="00F050AD">
      <w:pPr>
        <w:spacing w:after="0"/>
        <w:rPr>
          <w:rFonts w:ascii="Arial" w:eastAsia="Times New Roman" w:hAnsi="Arial" w:cs="Arial"/>
          <w:color w:val="333333"/>
        </w:rPr>
      </w:pPr>
      <w:r w:rsidRPr="00A87534">
        <w:rPr>
          <w:rFonts w:ascii="Arial" w:eastAsia="Times New Roman" w:hAnsi="Arial" w:cs="Arial"/>
        </w:rPr>
        <w:t xml:space="preserve">Bible Places, </w:t>
      </w:r>
      <w:r w:rsidRPr="00A87534">
        <w:rPr>
          <w:rFonts w:ascii="Arial" w:eastAsia="Times New Roman" w:hAnsi="Arial" w:cs="Arial"/>
          <w:i/>
          <w:iCs/>
        </w:rPr>
        <w:t>Church of the Holy Sepulcher</w:t>
      </w:r>
      <w:r w:rsidRPr="00A87534">
        <w:rPr>
          <w:rFonts w:ascii="Arial" w:eastAsia="Times New Roman" w:hAnsi="Arial" w:cs="Arial"/>
        </w:rPr>
        <w:t xml:space="preserve">, accessed 02 March 2011, </w:t>
      </w:r>
      <w:r w:rsidRPr="00A87534">
        <w:rPr>
          <w:rFonts w:ascii="Arial" w:eastAsia="Times New Roman" w:hAnsi="Arial" w:cs="Arial"/>
          <w:color w:val="333333"/>
        </w:rPr>
        <w:br/>
      </w:r>
      <w:r w:rsidRPr="00A87534">
        <w:rPr>
          <w:rFonts w:ascii="Arial" w:hAnsi="Arial" w:cs="Arial"/>
          <w:u w:val="single"/>
        </w:rPr>
        <w:t>**photo taken from this site as well</w:t>
      </w:r>
      <w:r w:rsidRPr="00A87534">
        <w:rPr>
          <w:rFonts w:ascii="Arial" w:hAnsi="Arial" w:cs="Arial"/>
        </w:rPr>
        <w:br/>
      </w:r>
      <w:r w:rsidRPr="00A87534">
        <w:rPr>
          <w:rFonts w:ascii="Arial" w:eastAsia="Times New Roman" w:hAnsi="Arial" w:cs="Arial"/>
          <w:color w:val="333333"/>
        </w:rPr>
        <w:t xml:space="preserve">URL: </w:t>
      </w:r>
      <w:hyperlink r:id="rId14" w:history="1">
        <w:r w:rsidRPr="00B91025">
          <w:rPr>
            <w:rFonts w:ascii="Arial" w:eastAsia="Times New Roman" w:hAnsi="Arial" w:cs="Arial"/>
          </w:rPr>
          <w:t>http://www.bibleplaces.com/holysepulcher.htm</w:t>
        </w:r>
      </w:hyperlink>
      <w:r>
        <w:rPr>
          <w:rFonts w:ascii="Arial" w:eastAsia="Times New Roman" w:hAnsi="Arial" w:cs="Arial"/>
        </w:rPr>
        <w:t xml:space="preserve"> </w:t>
      </w:r>
    </w:p>
    <w:p w:rsidR="00AF1705" w:rsidRPr="009B0A08" w:rsidRDefault="0002001F" w:rsidP="00F050AD">
      <w:pPr>
        <w:spacing w:after="0"/>
        <w:rPr>
          <w:rFonts w:ascii="Arial" w:eastAsia="Times New Roman" w:hAnsi="Arial" w:cs="Arial"/>
        </w:rPr>
      </w:pPr>
    </w:p>
    <w:p w:rsidR="00293F06" w:rsidRDefault="0002001F" w:rsidP="00F050AD">
      <w:pPr>
        <w:spacing w:after="0"/>
      </w:pPr>
      <w:r w:rsidRPr="009B0A08">
        <w:rPr>
          <w:rFonts w:ascii="Arial" w:eastAsia="Times New Roman" w:hAnsi="Arial" w:cs="Arial"/>
        </w:rPr>
        <w:t xml:space="preserve">Tour About, </w:t>
      </w:r>
      <w:r w:rsidRPr="009B0A08">
        <w:rPr>
          <w:rFonts w:ascii="Arial" w:eastAsia="Times New Roman" w:hAnsi="Arial" w:cs="Arial"/>
          <w:i/>
        </w:rPr>
        <w:t>Religious Vacations</w:t>
      </w:r>
      <w:r w:rsidRPr="009B0A08">
        <w:rPr>
          <w:rFonts w:ascii="Arial" w:eastAsia="Times New Roman" w:hAnsi="Arial" w:cs="Arial"/>
        </w:rPr>
        <w:t xml:space="preserve">, </w:t>
      </w:r>
      <w:r w:rsidRPr="009B0A08">
        <w:rPr>
          <w:rFonts w:ascii="Arial" w:eastAsia="Times New Roman" w:hAnsi="Arial" w:cs="Arial"/>
        </w:rPr>
        <w:t>accessed 15 March 2011</w:t>
      </w:r>
      <w:proofErr w:type="gramStart"/>
      <w:r w:rsidRPr="009B0A08">
        <w:rPr>
          <w:rFonts w:ascii="Arial" w:eastAsia="Times New Roman" w:hAnsi="Arial" w:cs="Arial"/>
        </w:rPr>
        <w:t>,</w:t>
      </w:r>
      <w:proofErr w:type="gramEnd"/>
      <w:r w:rsidRPr="009B0A08">
        <w:rPr>
          <w:rFonts w:ascii="Arial" w:eastAsia="Times New Roman" w:hAnsi="Arial" w:cs="Arial"/>
        </w:rPr>
        <w:br/>
        <w:t>URL</w:t>
      </w:r>
      <w:r>
        <w:rPr>
          <w:rFonts w:ascii="Arial" w:eastAsia="Times New Roman" w:hAnsi="Arial" w:cs="Arial"/>
          <w:color w:val="333333"/>
        </w:rPr>
        <w:t xml:space="preserve">: </w:t>
      </w:r>
      <w:hyperlink r:id="rId15" w:history="1">
        <w:r w:rsidRPr="00B91025">
          <w:rPr>
            <w:rFonts w:ascii="Arial" w:eastAsia="Times New Roman" w:hAnsi="Arial" w:cs="Arial"/>
          </w:rPr>
          <w:t>http://www.tourabout.com/religious-vacations-va19367</w:t>
        </w:r>
      </w:hyperlink>
      <w:r w:rsidR="00F050AD">
        <w:t xml:space="preserve"> </w:t>
      </w:r>
    </w:p>
    <w:p w:rsidR="00F050AD" w:rsidRDefault="00F050AD" w:rsidP="00F050AD">
      <w:pPr>
        <w:spacing w:after="0"/>
      </w:pPr>
    </w:p>
    <w:p w:rsidR="00293F06" w:rsidRPr="00F050AD" w:rsidRDefault="00293F06" w:rsidP="00F050AD">
      <w:pPr>
        <w:spacing w:after="0"/>
        <w:rPr>
          <w:rFonts w:ascii="Arial" w:eastAsia="Times New Roman" w:hAnsi="Arial" w:cs="Arial"/>
          <w:lang w:val="en-GB"/>
        </w:rPr>
      </w:pPr>
      <w:r w:rsidRPr="00F050AD">
        <w:rPr>
          <w:rFonts w:ascii="Arial" w:eastAsia="Times New Roman" w:hAnsi="Arial" w:cs="Arial"/>
          <w:lang w:val="en-GB"/>
        </w:rPr>
        <w:t xml:space="preserve">Stone P R (2005) </w:t>
      </w:r>
      <w:r w:rsidR="00F050AD" w:rsidRPr="00F050AD">
        <w:rPr>
          <w:rFonts w:ascii="Arial" w:eastAsia="Times New Roman" w:hAnsi="Arial" w:cs="Arial"/>
          <w:lang w:val="en-GB"/>
        </w:rPr>
        <w:t>The Tourism Society</w:t>
      </w:r>
      <w:r w:rsidR="00F050AD">
        <w:rPr>
          <w:rFonts w:ascii="Arial" w:eastAsia="Times New Roman" w:hAnsi="Arial" w:cs="Arial"/>
          <w:lang w:val="en-GB"/>
        </w:rPr>
        <w:t>,</w:t>
      </w:r>
      <w:r w:rsidR="00F050AD" w:rsidRPr="00F050AD">
        <w:rPr>
          <w:rFonts w:ascii="Arial" w:eastAsia="Times New Roman" w:hAnsi="Arial" w:cs="Arial"/>
          <w:lang w:val="en-GB"/>
        </w:rPr>
        <w:t xml:space="preserve"> </w:t>
      </w:r>
      <w:r w:rsidRPr="00F050AD">
        <w:rPr>
          <w:rFonts w:ascii="Arial" w:eastAsia="Times New Roman" w:hAnsi="Arial" w:cs="Arial"/>
          <w:i/>
          <w:iCs/>
          <w:lang w:val="en-GB"/>
        </w:rPr>
        <w:t>Review: Dark Tourism – Cashing in on Tragedy.</w:t>
      </w:r>
      <w:r w:rsidRPr="00F050AD">
        <w:rPr>
          <w:rFonts w:ascii="Arial" w:eastAsia="Times New Roman" w:hAnsi="Arial" w:cs="Arial"/>
          <w:lang w:val="en-GB"/>
        </w:rPr>
        <w:t xml:space="preserve"> 17</w:t>
      </w:r>
      <w:r w:rsidRPr="00F050AD">
        <w:rPr>
          <w:rFonts w:ascii="Arial" w:eastAsia="Times New Roman" w:hAnsi="Arial" w:cs="Arial"/>
          <w:vertAlign w:val="superscript"/>
          <w:lang w:val="en-GB"/>
        </w:rPr>
        <w:t>th</w:t>
      </w:r>
      <w:r w:rsidR="00F050AD">
        <w:rPr>
          <w:rFonts w:ascii="Arial" w:eastAsia="Times New Roman" w:hAnsi="Arial" w:cs="Arial"/>
          <w:lang w:val="en-GB"/>
        </w:rPr>
        <w:t xml:space="preserve"> October 2005, accessed 15</w:t>
      </w:r>
      <w:r w:rsidR="00F050AD">
        <w:rPr>
          <w:rFonts w:ascii="Arial" w:eastAsia="Times New Roman" w:hAnsi="Arial" w:cs="Arial"/>
          <w:vertAlign w:val="superscript"/>
          <w:lang w:val="en-GB"/>
        </w:rPr>
        <w:t xml:space="preserve"> </w:t>
      </w:r>
      <w:r w:rsidR="00F050AD">
        <w:rPr>
          <w:rFonts w:ascii="Arial" w:eastAsia="Times New Roman" w:hAnsi="Arial" w:cs="Arial"/>
          <w:lang w:val="en-GB"/>
        </w:rPr>
        <w:t>March 2011,</w:t>
      </w:r>
    </w:p>
    <w:p w:rsidR="00293F06" w:rsidRPr="00A87534" w:rsidRDefault="00293F06" w:rsidP="00F050AD">
      <w:pPr>
        <w:spacing w:after="0"/>
        <w:rPr>
          <w:rFonts w:ascii="Arial" w:eastAsia="Times New Roman" w:hAnsi="Arial" w:cs="Arial"/>
          <w:color w:val="333333"/>
        </w:rPr>
      </w:pPr>
      <w:r w:rsidRPr="00F050AD">
        <w:rPr>
          <w:rFonts w:ascii="Arial" w:eastAsia="Times New Roman" w:hAnsi="Arial" w:cs="Arial"/>
          <w:lang w:val="en-GB"/>
        </w:rPr>
        <w:t>URL</w:t>
      </w:r>
      <w:r w:rsidRPr="00293F06">
        <w:rPr>
          <w:rFonts w:ascii="Arial" w:eastAsia="Times New Roman" w:hAnsi="Arial" w:cs="Arial"/>
          <w:color w:val="333333"/>
          <w:lang w:val="en-GB"/>
        </w:rPr>
        <w:t xml:space="preserve">: </w:t>
      </w:r>
      <w:hyperlink r:id="rId16" w:history="1">
        <w:r w:rsidRPr="00293F06">
          <w:rPr>
            <w:rStyle w:val="Hyperlink"/>
            <w:rFonts w:ascii="Arial" w:eastAsia="Times New Roman" w:hAnsi="Arial" w:cs="Arial"/>
            <w:lang w:val="en-GB"/>
          </w:rPr>
          <w:t>www.dark-tourism.org.uk</w:t>
        </w:r>
      </w:hyperlink>
    </w:p>
    <w:p w:rsidR="00956BE5" w:rsidRPr="002B3164" w:rsidRDefault="0002001F" w:rsidP="009E3FD0">
      <w:pPr>
        <w:spacing w:after="0" w:line="360" w:lineRule="auto"/>
        <w:rPr>
          <w:rFonts w:ascii="Arial" w:hAnsi="Arial" w:cs="Arial"/>
          <w:color w:val="333333"/>
          <w:sz w:val="27"/>
          <w:szCs w:val="27"/>
        </w:rPr>
      </w:pPr>
    </w:p>
    <w:p w:rsidR="00755B77" w:rsidRPr="003A07B1" w:rsidRDefault="0002001F" w:rsidP="009E3FD0">
      <w:pPr>
        <w:spacing w:after="0" w:line="360" w:lineRule="auto"/>
        <w:rPr>
          <w:rFonts w:ascii="Arial" w:eastAsia="Times New Roman" w:hAnsi="Arial" w:cs="Arial"/>
          <w:color w:val="333333"/>
          <w:sz w:val="24"/>
          <w:szCs w:val="24"/>
        </w:rPr>
      </w:pPr>
    </w:p>
    <w:p w:rsidR="003A07B1" w:rsidRPr="003A07B1" w:rsidRDefault="0002001F" w:rsidP="009E3FD0">
      <w:pPr>
        <w:spacing w:line="360" w:lineRule="auto"/>
      </w:pPr>
    </w:p>
    <w:sectPr w:rsidR="003A07B1" w:rsidRPr="003A07B1" w:rsidSect="003A07B1">
      <w:headerReference w:type="default" r:id="rId17"/>
      <w:footerReference w:type="default" r:id="rId18"/>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9FE" w:rsidRDefault="009D29FE" w:rsidP="009D29FE">
      <w:pPr>
        <w:spacing w:after="0" w:line="240" w:lineRule="auto"/>
      </w:pPr>
      <w:r>
        <w:separator/>
      </w:r>
    </w:p>
  </w:endnote>
  <w:endnote w:type="continuationSeparator" w:id="0">
    <w:p w:rsidR="009D29FE" w:rsidRDefault="009D29FE" w:rsidP="009D2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34" w:rsidRPr="00A87534" w:rsidRDefault="0002001F" w:rsidP="00A87534">
    <w:pPr>
      <w:jc w:val="right"/>
      <w:rPr>
        <w:lang w:val="en-US"/>
      </w:rPr>
    </w:pPr>
    <w:r>
      <w:rPr>
        <w:lang w:val="en-US"/>
      </w:rPr>
      <w:t xml:space="preserve">Mel </w:t>
    </w:r>
    <w:r>
      <w:rPr>
        <w:lang w:val="en-US"/>
      </w:rPr>
      <w:t>Williams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9FE" w:rsidRDefault="009D29FE" w:rsidP="009D29FE">
      <w:pPr>
        <w:spacing w:after="0" w:line="240" w:lineRule="auto"/>
      </w:pPr>
      <w:r>
        <w:separator/>
      </w:r>
    </w:p>
  </w:footnote>
  <w:footnote w:type="continuationSeparator" w:id="0">
    <w:p w:rsidR="009D29FE" w:rsidRDefault="009D29FE" w:rsidP="009D29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03"/>
      <w:gridCol w:w="1153"/>
    </w:tblGrid>
    <w:tr w:rsidR="003A07B1">
      <w:trPr>
        <w:trHeight w:val="288"/>
      </w:trPr>
      <w:sdt>
        <w:sdtPr>
          <w:rPr>
            <w:rFonts w:asciiTheme="majorHAnsi" w:eastAsiaTheme="majorEastAsia" w:hAnsiTheme="majorHAnsi"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3A07B1" w:rsidRDefault="00F16ED1" w:rsidP="00F16ED1">
              <w:pP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Stage 2 Tourism</w:t>
              </w:r>
            </w:p>
          </w:tc>
        </w:sdtContent>
      </w:sdt>
      <w:tc>
        <w:tcPr>
          <w:tcW w:w="1105" w:type="dxa"/>
        </w:tcPr>
        <w:p w:rsidR="003A07B1" w:rsidRDefault="00F16ED1" w:rsidP="00A87534">
          <w:pP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sdt>
            <w:sdtPr>
              <w:rPr>
                <w:rFonts w:asciiTheme="majorHAnsi" w:eastAsiaTheme="majorEastAsia" w:hAnsiTheme="majorHAnsi" w:cstheme="majorBidi"/>
                <w:b/>
                <w:bCs/>
                <w:color w:val="4F81BD" w:themeColor="accent1"/>
                <w:sz w:val="36"/>
                <w:szCs w:val="36"/>
              </w:rPr>
              <w:alias w:val="Year"/>
              <w:id w:val="77761609"/>
              <w:showingPlcHd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r w:rsidR="000B53B8">
                <w:rPr>
                  <w:rFonts w:asciiTheme="majorHAnsi" w:eastAsiaTheme="majorEastAsia" w:hAnsiTheme="majorHAnsi" w:cstheme="majorBidi"/>
                  <w:b/>
                  <w:bCs/>
                  <w:color w:val="4F81BD" w:themeColor="accent1"/>
                  <w:sz w:val="36"/>
                  <w:szCs w:val="36"/>
                </w:rPr>
                <w:t xml:space="preserve">     </w:t>
              </w:r>
            </w:sdtContent>
          </w:sdt>
        </w:p>
      </w:tc>
    </w:tr>
  </w:tbl>
  <w:p w:rsidR="003A07B1" w:rsidRDefault="0002001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9D29FE"/>
    <w:rsid w:val="0002001F"/>
    <w:rsid w:val="000B53B8"/>
    <w:rsid w:val="00293F06"/>
    <w:rsid w:val="00450A94"/>
    <w:rsid w:val="00764814"/>
    <w:rsid w:val="00773793"/>
    <w:rsid w:val="007C529F"/>
    <w:rsid w:val="007F1577"/>
    <w:rsid w:val="009669FB"/>
    <w:rsid w:val="009B5010"/>
    <w:rsid w:val="009D29FE"/>
    <w:rsid w:val="009E3FD0"/>
    <w:rsid w:val="00CA275F"/>
    <w:rsid w:val="00E42E71"/>
    <w:rsid w:val="00F050AD"/>
    <w:rsid w:val="00F16ED1"/>
    <w:rsid w:val="00F25E7A"/>
    <w:rsid w:val="00FD1F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3B8"/>
    <w:rPr>
      <w:rFonts w:ascii="Tahoma" w:hAnsi="Tahoma" w:cs="Tahoma"/>
      <w:sz w:val="16"/>
      <w:szCs w:val="16"/>
    </w:rPr>
  </w:style>
  <w:style w:type="paragraph" w:styleId="Header">
    <w:name w:val="header"/>
    <w:basedOn w:val="Normal"/>
    <w:link w:val="HeaderChar"/>
    <w:uiPriority w:val="99"/>
    <w:semiHidden/>
    <w:unhideWhenUsed/>
    <w:rsid w:val="00F16E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16ED1"/>
  </w:style>
  <w:style w:type="paragraph" w:styleId="Footer">
    <w:name w:val="footer"/>
    <w:basedOn w:val="Normal"/>
    <w:link w:val="FooterChar"/>
    <w:uiPriority w:val="99"/>
    <w:semiHidden/>
    <w:unhideWhenUsed/>
    <w:rsid w:val="00F16E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6ED1"/>
  </w:style>
  <w:style w:type="table" w:styleId="MediumShading2-Accent5">
    <w:name w:val="Medium Shading 2 Accent 5"/>
    <w:basedOn w:val="TableNormal"/>
    <w:uiPriority w:val="64"/>
    <w:rsid w:val="00F16ED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293F0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93F06"/>
    <w:pPr>
      <w:spacing w:after="0" w:line="240" w:lineRule="auto"/>
    </w:pPr>
  </w:style>
  <w:style w:type="character" w:styleId="Hyperlink">
    <w:name w:val="Hyperlink"/>
    <w:basedOn w:val="DefaultParagraphFont"/>
    <w:uiPriority w:val="99"/>
    <w:unhideWhenUsed/>
    <w:rsid w:val="00293F0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1343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ravel-industry-dictionary.com/pilgrimage.html" TargetMode="External"/><Relationship Id="rId13" Type="http://schemas.openxmlformats.org/officeDocument/2006/relationships/hyperlink" Target="http://www.abs.gov.au/ausstats/abs@.nsf/bb8db737e2af84b8ca2571780015701e/bfdda1ca506d6cfaca2570de0014496e!OpenDocument"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hyperlink" Target="http://www.theage.com.au/news/national/ten-years-on-the-horrors-of-port-arthur-linger/2006/04/27/1145861488344.html"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dark-tourism.org.uk/" TargetMode="External"/><Relationship Id="rId20"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vacationideas.me/travel-tips/top-10-dark-tourism-destinations" TargetMode="External"/><Relationship Id="rId5" Type="http://schemas.openxmlformats.org/officeDocument/2006/relationships/endnotes" Target="endnotes.xml"/><Relationship Id="rId15" Type="http://schemas.openxmlformats.org/officeDocument/2006/relationships/hyperlink" Target="http://www.tourabout.com/religious-vacations-va19367" TargetMode="External"/><Relationship Id="rId10" Type="http://schemas.openxmlformats.org/officeDocument/2006/relationships/hyperlink" Target="http://www.women-on-the-road.com/dark-tourism.htm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travel-industry-dictionary.com/darktourism.html" TargetMode="External"/><Relationship Id="rId14" Type="http://schemas.openxmlformats.org/officeDocument/2006/relationships/hyperlink" Target="http://www.bibleplaces.com/holysepulcher.htm" TargetMode="External"/><Relationship Id="rId22" Type="http://schemas.microsoft.com/office/2007/relationships/stylesWithEffects" Target="NUL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27525"/>
    <w:rsid w:val="00B2752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1A7B14157A43A48F2E21F575655BE0">
    <w:name w:val="FC1A7B14157A43A48F2E21F575655BE0"/>
    <w:rsid w:val="00B2752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Stage 2 Tourism</vt:lpstr>
    </vt:vector>
  </TitlesOfParts>
  <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Tourism</dc:title>
  <dc:creator>Melvinator</dc:creator>
  <cp:lastModifiedBy>Mel Williams</cp:lastModifiedBy>
  <cp:revision>2</cp:revision>
  <dcterms:created xsi:type="dcterms:W3CDTF">2011-03-29T12:57:00Z</dcterms:created>
  <dcterms:modified xsi:type="dcterms:W3CDTF">2011-03-29T12:57:00Z</dcterms:modified>
</cp:coreProperties>
</file>